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0B98E" w14:textId="77777777" w:rsidR="00A77B3E" w:rsidRDefault="00000000" w:rsidP="00997A82">
      <w:pPr>
        <w:ind w:left="5669"/>
        <w:jc w:val="right"/>
        <w:rPr>
          <w:b/>
          <w:i/>
          <w:sz w:val="20"/>
          <w:u w:val="thick"/>
        </w:rPr>
      </w:pPr>
      <w:r>
        <w:rPr>
          <w:b/>
          <w:i/>
          <w:sz w:val="20"/>
          <w:u w:val="thick"/>
        </w:rPr>
        <w:t>Projekt Burmistrza Gminy Alwernia</w:t>
      </w:r>
    </w:p>
    <w:p w14:paraId="2ADB24AD" w14:textId="77777777" w:rsidR="00A77B3E" w:rsidRDefault="00A77B3E">
      <w:pPr>
        <w:ind w:left="5669"/>
        <w:jc w:val="left"/>
        <w:rPr>
          <w:b/>
          <w:i/>
          <w:sz w:val="20"/>
          <w:u w:val="thick"/>
        </w:rPr>
      </w:pPr>
    </w:p>
    <w:p w14:paraId="341ABB25" w14:textId="77777777" w:rsidR="00C94CF2" w:rsidRDefault="00C94CF2">
      <w:pPr>
        <w:ind w:left="5669"/>
        <w:jc w:val="left"/>
      </w:pPr>
    </w:p>
    <w:p w14:paraId="008A3A0F" w14:textId="77777777" w:rsidR="00C94CF2" w:rsidRDefault="00000000">
      <w:pPr>
        <w:jc w:val="center"/>
        <w:rPr>
          <w:b/>
          <w:caps/>
        </w:rPr>
      </w:pPr>
      <w:r>
        <w:rPr>
          <w:b/>
          <w:caps/>
        </w:rPr>
        <w:t>Uchwała Nr ....................</w:t>
      </w:r>
      <w:r>
        <w:rPr>
          <w:b/>
          <w:caps/>
        </w:rPr>
        <w:br/>
        <w:t>Rady Miejskiej w Alwerni</w:t>
      </w:r>
    </w:p>
    <w:p w14:paraId="51E20D17" w14:textId="77777777" w:rsidR="00C94CF2" w:rsidRDefault="00000000">
      <w:pPr>
        <w:spacing w:before="280" w:after="280"/>
        <w:jc w:val="center"/>
        <w:rPr>
          <w:b/>
          <w:caps/>
        </w:rPr>
      </w:pPr>
      <w:r>
        <w:t>z dnia .................... 2025 r.</w:t>
      </w:r>
    </w:p>
    <w:p w14:paraId="681D1BAC" w14:textId="77777777" w:rsidR="00C94CF2" w:rsidRDefault="00000000">
      <w:pPr>
        <w:keepNext/>
        <w:spacing w:after="480"/>
        <w:jc w:val="center"/>
      </w:pPr>
      <w:r>
        <w:rPr>
          <w:b/>
        </w:rPr>
        <w:t>w sprawie miejscowego planu zagospodarowania przestrzennego obszaru "GROJEC PÓŁNOC"</w:t>
      </w:r>
    </w:p>
    <w:p w14:paraId="3FBB8581" w14:textId="77777777" w:rsidR="00C94CF2" w:rsidRDefault="00000000">
      <w:pPr>
        <w:keepLines/>
        <w:spacing w:before="120" w:after="120"/>
        <w:ind w:firstLine="227"/>
        <w:rPr>
          <w:color w:val="000000"/>
          <w:u w:color="000000"/>
        </w:rPr>
      </w:pPr>
      <w:r>
        <w:t xml:space="preserve">Na podstawie art. 20 ust. 1 ustawy z dnia 27 marca 2003 roku </w:t>
      </w:r>
      <w:r>
        <w:rPr>
          <w:i/>
          <w:color w:val="000000"/>
          <w:u w:color="000000"/>
        </w:rPr>
        <w:t xml:space="preserve">o planowaniu i zagospodarowaniu przestrzennym </w:t>
      </w:r>
      <w:r>
        <w:rPr>
          <w:color w:val="000000"/>
          <w:u w:color="000000"/>
        </w:rPr>
        <w:t>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 xml:space="preserve">. Dz.U. z 2023 r. poz. 977 ze zm.), w związku z art. 67 ust. 3 pkt 1 i 2 ustawy z dnia 7 lipca 2023 r. </w:t>
      </w:r>
      <w:r>
        <w:rPr>
          <w:i/>
          <w:color w:val="000000"/>
          <w:u w:color="000000"/>
        </w:rPr>
        <w:t xml:space="preserve">o zmianie ustawy o planowaniu i zagospodarowaniu przestrzennym oraz niektórych innych ustaw </w:t>
      </w:r>
      <w:r>
        <w:rPr>
          <w:color w:val="000000"/>
          <w:u w:color="000000"/>
        </w:rPr>
        <w:t>(Dz. U. z 2023 r. poz. 1688), Rada Miejska w Alwerni stwierdza, że projekt miejscowego planu zagospodarowania przestrzennego obszaru "GROJEC PÓŁNOC" nie narusza ustaleń studium uwarunkowań i kierunków zagospodarowania przestrzennego gminy Alwernia oraz uchwala, co następuje:</w:t>
      </w:r>
    </w:p>
    <w:p w14:paraId="17FD6E8C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rPr>
          <w:color w:val="000000"/>
          <w:u w:color="000000"/>
        </w:rPr>
        <w:t xml:space="preserve">Uchwala się </w:t>
      </w:r>
      <w:r>
        <w:rPr>
          <w:b/>
          <w:color w:val="000000"/>
          <w:u w:color="000000"/>
        </w:rPr>
        <w:t>miejscowy plan zagospodarowania przestrzennego obszaru "GROJEC PÓŁNOC"</w:t>
      </w:r>
      <w:r>
        <w:rPr>
          <w:color w:val="000000"/>
          <w:u w:color="000000"/>
        </w:rPr>
        <w:t>, zwany dalej „planem”.</w:t>
      </w:r>
    </w:p>
    <w:p w14:paraId="7086ABAD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Integralną częścią niniejszej uchwały są:</w:t>
      </w:r>
    </w:p>
    <w:p w14:paraId="7974FC3D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część graficzna planu w skali 1:2000 zwana dalej „rysunkiem planu”, stanowiąca załącznik nr 1 do uchwały;</w:t>
      </w:r>
    </w:p>
    <w:p w14:paraId="17FD9BAF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rozstrzygnięcie o sposobie rozpatrzenia uwag do projektu planu, stanowiące załącznik nr 2 do uchwały;</w:t>
      </w:r>
    </w:p>
    <w:p w14:paraId="774A5539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rozstrzygnięcie o sposobie realizacji zapisanych w planie inwestycji z zakresu infrastruktury technicznej, które należą do zadań własnych gminy oraz zasad ich finansowania, stanowiące załącznik nr 3 do uchwały;</w:t>
      </w:r>
    </w:p>
    <w:p w14:paraId="79B464F0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dane przestrzenne planu, stanowiące załącznik nr 4 do uchwały.</w:t>
      </w:r>
    </w:p>
    <w:p w14:paraId="1891477F" w14:textId="77777777" w:rsidR="00C94CF2" w:rsidRDefault="00000000">
      <w:pPr>
        <w:keepNext/>
        <w:jc w:val="center"/>
        <w:rPr>
          <w:color w:val="000000"/>
          <w:u w:color="000000"/>
        </w:rPr>
      </w:pPr>
      <w:r>
        <w:rPr>
          <w:b/>
        </w:rPr>
        <w:t>Rozdział 1.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Obszar objęty planem i przepisy ogólne</w:t>
      </w:r>
    </w:p>
    <w:p w14:paraId="187093CD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Plan obejmuje obszar o powierzchni 91,94 ha, którego granice zostały określone na załączniku graficznym do uchwały Nr VIII/58/2023 Rady Miejskiej w Alwerni z dnia 29 czerwca 2023 r. w sprawie przystąpienia do sporządzenia miejscowego planu zagospodarowania przestrzennego obszaru „GROJEC PÓŁNOC”.</w:t>
      </w:r>
    </w:p>
    <w:p w14:paraId="31E2EFF2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Ilekroć w uchwale jest mowa o:</w:t>
      </w:r>
    </w:p>
    <w:p w14:paraId="6A1BF3E6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b/>
          <w:color w:val="000000"/>
          <w:u w:color="000000"/>
        </w:rPr>
        <w:t xml:space="preserve">terenie </w:t>
      </w:r>
      <w:r>
        <w:rPr>
          <w:color w:val="000000"/>
          <w:u w:color="000000"/>
        </w:rPr>
        <w:t>– oznacza to fragment planu o określonym przeznaczeniu lub zasadach zagospodarowania, wyodrębniony na rysunku planu liniami rozgraniczającymi i opisany symbolem identyfikacyjnym;</w:t>
      </w:r>
    </w:p>
    <w:p w14:paraId="4D68A85A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b/>
          <w:color w:val="000000"/>
          <w:u w:color="000000"/>
        </w:rPr>
        <w:t xml:space="preserve">wysokości zabudowy </w:t>
      </w:r>
      <w:r>
        <w:rPr>
          <w:color w:val="000000"/>
          <w:u w:color="000000"/>
        </w:rPr>
        <w:t>– oznacza to całkowitą wysokość obiektów budowlanych, wyrażoną w metrach, mierzoną od średniego poziomu terenu przed obiektem budowlanym do jego najwyżej usytuowanego elementu. W przypadku budynków ich wysokość mierzy się od średniego poziomu terenu przed głównym wejściem do budynku do najwyżej położonej części budynku: kalenicy dachu lub krawędzi attyki;</w:t>
      </w:r>
    </w:p>
    <w:p w14:paraId="430F70D1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b/>
          <w:color w:val="000000"/>
          <w:u w:color="000000"/>
        </w:rPr>
        <w:t xml:space="preserve">nieprzekraczalnej linii zabudowy </w:t>
      </w:r>
      <w:r>
        <w:rPr>
          <w:color w:val="000000"/>
          <w:u w:color="000000"/>
        </w:rPr>
        <w:t>– należy przez to rozumieć wyznaczoną na rysunku planu linię, poza którą nie mogą być sytuowane budynki (ich nadziemne części), z dopuszczeniem wysunięcia przed wyznaczoną linię balkonów, okapów, ganków, schodów i ramp zewnętrznych, gzymsów, wiatrołapów i innych detali architektonicznych;</w:t>
      </w:r>
    </w:p>
    <w:p w14:paraId="4267DFE3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b/>
          <w:color w:val="000000"/>
          <w:u w:color="000000"/>
        </w:rPr>
        <w:t xml:space="preserve">intensywności zabudowy </w:t>
      </w:r>
      <w:r>
        <w:rPr>
          <w:color w:val="000000"/>
          <w:u w:color="000000"/>
        </w:rPr>
        <w:t>– należy przez to rozumieć wskaźnik powierzchni całkowitej zabudowy w odniesieniu do powierzchni działki budowlanej;</w:t>
      </w:r>
    </w:p>
    <w:p w14:paraId="2604D8C4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b/>
          <w:color w:val="000000"/>
          <w:u w:color="000000"/>
        </w:rPr>
        <w:t xml:space="preserve">powierzchni całkowitej zabudowy </w:t>
      </w:r>
      <w:r>
        <w:rPr>
          <w:color w:val="000000"/>
          <w:u w:color="000000"/>
        </w:rPr>
        <w:t>– należy przez to rozumieć sumę powierzchni całkowitych budynków (istniejących i projektowanych) na terenie inwestycji;</w:t>
      </w:r>
    </w:p>
    <w:p w14:paraId="22FC8DC1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b/>
          <w:color w:val="000000"/>
          <w:u w:color="000000"/>
        </w:rPr>
        <w:t xml:space="preserve">powierzchni całkowitej budynku </w:t>
      </w:r>
      <w:r>
        <w:rPr>
          <w:color w:val="000000"/>
          <w:u w:color="000000"/>
        </w:rPr>
        <w:t xml:space="preserve">– należy przez to rozumieć sumę powierzchni całkowitych wszystkich kondygnacji nadziemnych budynku, określoną zgodnie z zasadami zawartymi w Polskiej Normie </w:t>
      </w:r>
      <w:r>
        <w:rPr>
          <w:color w:val="000000"/>
          <w:u w:color="000000"/>
        </w:rPr>
        <w:lastRenderedPageBreak/>
        <w:t>dotyczącej określania i obliczania wskaźników powierzchniowych i kubaturowych (PN-ISO 9836:2015-12);</w:t>
      </w:r>
    </w:p>
    <w:p w14:paraId="4DD6E194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b/>
          <w:color w:val="000000"/>
          <w:u w:color="000000"/>
        </w:rPr>
        <w:t xml:space="preserve">powierzchni biologicznie czynnej </w:t>
      </w:r>
      <w:r>
        <w:rPr>
          <w:color w:val="000000"/>
          <w:u w:color="000000"/>
        </w:rPr>
        <w:t xml:space="preserve">– należy przez to rozumieć powierzchnię biologicznie czynną w rozumieniu przepisów rozporządzenia Ministra Infrastruktury z dnia 12 kwietnia 2002 r. </w:t>
      </w:r>
      <w:r>
        <w:rPr>
          <w:i/>
          <w:color w:val="000000"/>
          <w:u w:color="000000"/>
        </w:rPr>
        <w:t>w sprawie warunków technicznych, jakim powinny odpowiadać budynki i ich usytuowanie</w:t>
      </w:r>
      <w:r>
        <w:rPr>
          <w:color w:val="000000"/>
          <w:u w:color="000000"/>
        </w:rPr>
        <w:t xml:space="preserve">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Dz.U. z 2022 r. poz. 1225 ze zm.);</w:t>
      </w:r>
    </w:p>
    <w:p w14:paraId="4798DB02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8) </w:t>
      </w:r>
      <w:r>
        <w:rPr>
          <w:b/>
          <w:color w:val="000000"/>
          <w:u w:color="000000"/>
        </w:rPr>
        <w:t xml:space="preserve">terenie inwestycji </w:t>
      </w:r>
      <w:r>
        <w:rPr>
          <w:color w:val="000000"/>
          <w:u w:color="000000"/>
        </w:rPr>
        <w:t>– należy przez to rozumieć teren objęty wnioskiem o pozwolenie na budowę lub zgłoszeniem;</w:t>
      </w:r>
    </w:p>
    <w:p w14:paraId="4E16B950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9) </w:t>
      </w:r>
      <w:r>
        <w:rPr>
          <w:b/>
          <w:color w:val="000000"/>
          <w:u w:color="000000"/>
        </w:rPr>
        <w:t xml:space="preserve">działce budowlanej </w:t>
      </w:r>
      <w:r>
        <w:rPr>
          <w:color w:val="000000"/>
          <w:u w:color="000000"/>
        </w:rPr>
        <w:t xml:space="preserve">– należy przez to rozumieć działkę budowlaną w rozumieniu przepisów ustawy z dnia 27 marca 2003 r. </w:t>
      </w:r>
      <w:r>
        <w:rPr>
          <w:i/>
          <w:color w:val="000000"/>
          <w:u w:color="000000"/>
        </w:rPr>
        <w:t xml:space="preserve">o planowaniu i zagospodarowaniu przestrzennym </w:t>
      </w:r>
      <w:r>
        <w:rPr>
          <w:color w:val="000000"/>
          <w:u w:color="000000"/>
        </w:rPr>
        <w:t>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Dz.U. z 2023 r. poz. 977 ze zm.);</w:t>
      </w:r>
    </w:p>
    <w:p w14:paraId="58D006E1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10) </w:t>
      </w:r>
      <w:r>
        <w:rPr>
          <w:b/>
          <w:color w:val="000000"/>
          <w:u w:color="000000"/>
        </w:rPr>
        <w:t xml:space="preserve">urządzeniach budowlanych </w:t>
      </w:r>
      <w:r>
        <w:rPr>
          <w:color w:val="000000"/>
          <w:u w:color="000000"/>
        </w:rPr>
        <w:t xml:space="preserve">– należy przez to rozumieć urządzenia budowlane w rozumieniu przepisów ustawy z dnia 7 lipca 1994 r. </w:t>
      </w:r>
      <w:r>
        <w:rPr>
          <w:i/>
          <w:color w:val="000000"/>
          <w:u w:color="000000"/>
        </w:rPr>
        <w:t xml:space="preserve">Prawo budowlane </w:t>
      </w:r>
      <w:r>
        <w:rPr>
          <w:color w:val="000000"/>
          <w:u w:color="000000"/>
        </w:rPr>
        <w:t>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Dz.U. z 2023 r. poz. 682 ze zm.);</w:t>
      </w:r>
    </w:p>
    <w:p w14:paraId="3FA4D741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11) </w:t>
      </w:r>
      <w:r>
        <w:rPr>
          <w:b/>
          <w:color w:val="000000"/>
          <w:u w:color="000000"/>
        </w:rPr>
        <w:t xml:space="preserve">uzbrojeniu terenu </w:t>
      </w:r>
      <w:r>
        <w:rPr>
          <w:color w:val="000000"/>
          <w:u w:color="000000"/>
        </w:rPr>
        <w:t xml:space="preserve">– należy przez to rozumieć uzbrojenie terenu w rozumieniu przepisów ustawy z dnia 27 marca 2003 r. </w:t>
      </w:r>
      <w:r>
        <w:rPr>
          <w:i/>
          <w:color w:val="000000"/>
          <w:u w:color="000000"/>
        </w:rPr>
        <w:t>o planowaniu i zagospodarowaniu przestrzennym</w:t>
      </w:r>
      <w:r>
        <w:rPr>
          <w:color w:val="000000"/>
          <w:u w:color="000000"/>
        </w:rPr>
        <w:t>;</w:t>
      </w:r>
    </w:p>
    <w:p w14:paraId="31E2B992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12) </w:t>
      </w:r>
      <w:r>
        <w:rPr>
          <w:b/>
          <w:color w:val="000000"/>
          <w:u w:color="000000"/>
        </w:rPr>
        <w:t xml:space="preserve">usługach handlu wielkopowierzchniowego </w:t>
      </w:r>
      <w:r>
        <w:rPr>
          <w:color w:val="000000"/>
          <w:u w:color="000000"/>
        </w:rPr>
        <w:t xml:space="preserve">– należy przez to rozumieć handel wielkopowierzchniowy w rozumieniu przepisów ustawy z dnia 27 marca 2003 r. </w:t>
      </w:r>
      <w:r>
        <w:rPr>
          <w:i/>
          <w:color w:val="000000"/>
          <w:u w:color="000000"/>
        </w:rPr>
        <w:t>o planowaniu i zagospodarowaniu przestrzennym.</w:t>
      </w:r>
    </w:p>
    <w:p w14:paraId="61F5F186" w14:textId="77777777" w:rsidR="00C94CF2" w:rsidRDefault="00000000">
      <w:pPr>
        <w:keepNext/>
        <w:jc w:val="center"/>
        <w:rPr>
          <w:color w:val="000000"/>
          <w:u w:color="000000"/>
        </w:rPr>
      </w:pPr>
      <w:r>
        <w:rPr>
          <w:b/>
        </w:rPr>
        <w:t>Rozdział 2.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Zasady ochrony i kształtowania ładu przestrzennego</w:t>
      </w:r>
    </w:p>
    <w:p w14:paraId="333F9991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t>1. </w:t>
      </w:r>
      <w:r>
        <w:rPr>
          <w:color w:val="000000"/>
          <w:u w:color="000000"/>
        </w:rPr>
        <w:t>W całym obszarze planu dopuszcza się:</w:t>
      </w:r>
    </w:p>
    <w:p w14:paraId="29F31B21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rozbudowę, przebudowę, nadbudowę, odbudowę oraz zmianę sposobu użytkowania istniejących budynków zgodnie z przeznaczeniem terenów pod warunkiem, że łącznie dla obiektów istniejących i nowych, zostaną zachowane wskaźniki i parametry kształtowania zabudowy określone dla tego terenu;</w:t>
      </w:r>
    </w:p>
    <w:p w14:paraId="6E649774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realizację infrastruktury telekomunikacyjnej o nieznacznym oddziaływaniu, o ile nie narusza to pozostałych ustaleń planu.</w:t>
      </w:r>
    </w:p>
    <w:p w14:paraId="24132E82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terenów gdzie istniejące parametry i wskaźniki zabudowy oraz zagospodarowania terenu nie dotrzymują ustalonych planem wartości, zakazuje się zwiększania wysokości budynków, powiększania powierzchni zabudowy oraz zmniejszania powierzchni biologicznie czynnej.</w:t>
      </w:r>
    </w:p>
    <w:p w14:paraId="0EEC0453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rozbudowy i nadbudowy istniejących budynków dopuszcza się odstępstwa od ustalonej planem geometrii dachów, określonych w ustaleniach szczegółowych, jeżeli wynika to z konieczności nawiązania do kątów nachylenia połaci dachowych istniejących budynków lub ich części.</w:t>
      </w:r>
    </w:p>
    <w:p w14:paraId="0F6EA87E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 xml:space="preserve">W obszarze planu ustala się </w:t>
      </w:r>
      <w:r>
        <w:rPr>
          <w:b/>
          <w:color w:val="000000"/>
          <w:u w:color="000000"/>
        </w:rPr>
        <w:t>nieprzekraczalne linie zabudowy</w:t>
      </w:r>
      <w:r>
        <w:rPr>
          <w:color w:val="000000"/>
          <w:u w:color="000000"/>
        </w:rPr>
        <w:t>:</w:t>
      </w:r>
    </w:p>
    <w:p w14:paraId="23429010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dla autostrady A4: 50 m od zewnętrznej krawędzi jezdni;</w:t>
      </w:r>
    </w:p>
    <w:p w14:paraId="4B9D88AF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dla dróg oznaczonych symbolem KDL: od 6 do 12 m od linii rozgraniczających drogę;</w:t>
      </w:r>
    </w:p>
    <w:p w14:paraId="7591775D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dla terenów U-P: od 5 do 37 m od linii rozgraniczających tereny;</w:t>
      </w:r>
    </w:p>
    <w:p w14:paraId="689D2A29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od granic obszaru objętego planem: od 3 do 6 m;</w:t>
      </w:r>
    </w:p>
    <w:p w14:paraId="70675F00" w14:textId="77777777" w:rsidR="00C94CF2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instrText>MERGEFIELD COMMONPART_OF_POINTS \* MERGEFORMAT</w:instrText>
      </w:r>
      <w:r>
        <w:rPr>
          <w:color w:val="000000"/>
          <w:u w:color="000000"/>
        </w:rPr>
        <w:fldChar w:fldCharType="separate"/>
      </w:r>
      <w:r>
        <w:t>– </w:t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zgodnie z rysunkiem planu.</w:t>
      </w:r>
    </w:p>
    <w:p w14:paraId="48B489B9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rPr>
          <w:color w:val="000000"/>
          <w:u w:color="000000"/>
        </w:rPr>
        <w:t>Zakazuje się realizacji kolorystyki obiektów budowlanych oraz pokryć dachów w barwach: różowych, fioletowych, żółtych, niebieskich, zielonych.</w:t>
      </w:r>
    </w:p>
    <w:p w14:paraId="51144876" w14:textId="77777777" w:rsidR="00C94CF2" w:rsidRDefault="00000000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3.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Zasady ochrony środowiska, przyrody i krajobrazu oraz ochrony dziedzictwa kulturowego i zabytków</w:t>
      </w:r>
    </w:p>
    <w:p w14:paraId="122CB0EF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rPr>
          <w:color w:val="000000"/>
          <w:u w:color="000000"/>
        </w:rPr>
        <w:t>W całym obszarze planu:</w:t>
      </w:r>
    </w:p>
    <w:p w14:paraId="578C8109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dopuszcza się stosowanie urządzeń do pozyskiwania energii z odnawialnych źródeł energii jak np. kolektory słoneczne, pompy ciepła i urządzenia fotowoltaiczne wolnostojące o mocy nieprzekraczającej 500 kW;</w:t>
      </w:r>
    </w:p>
    <w:p w14:paraId="443F29A9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zakazuje się realizacji:</w:t>
      </w:r>
    </w:p>
    <w:p w14:paraId="462E07BE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urządzeń wykorzystujących energię wiatru,</w:t>
      </w:r>
    </w:p>
    <w:p w14:paraId="6EEBEB92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urządzeń fotowoltaicznych montowanych na ścianach budynków.</w:t>
      </w:r>
    </w:p>
    <w:p w14:paraId="6BB9414A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8. </w:t>
      </w:r>
      <w:r>
        <w:rPr>
          <w:color w:val="000000"/>
          <w:u w:color="000000"/>
        </w:rPr>
        <w:t>Ustala się kwalifikację terenów oznaczonych symbolami:</w:t>
      </w:r>
    </w:p>
    <w:p w14:paraId="3D0A9A76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b/>
          <w:color w:val="000000"/>
          <w:u w:color="000000"/>
        </w:rPr>
        <w:t xml:space="preserve">MN </w:t>
      </w:r>
      <w:r>
        <w:rPr>
          <w:color w:val="000000"/>
          <w:u w:color="000000"/>
        </w:rPr>
        <w:t>do rodzaju terenów, dla których obowiązują dopuszczalne poziomy hałasu jak dla terenów przeznaczonych pod zabudowę mieszkaniową jednorodzinną;</w:t>
      </w:r>
    </w:p>
    <w:p w14:paraId="5AD46DF8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b/>
          <w:color w:val="000000"/>
          <w:u w:color="000000"/>
        </w:rPr>
        <w:t xml:space="preserve">MN-U </w:t>
      </w:r>
      <w:r>
        <w:rPr>
          <w:color w:val="000000"/>
          <w:u w:color="000000"/>
        </w:rPr>
        <w:t>do rodzaju terenów, dla których obowiązują dopuszczalne poziomy hałasu jak dla terenów przeznaczonych na cele mieszkaniowo-usługowe;</w:t>
      </w:r>
    </w:p>
    <w:p w14:paraId="228B996A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b/>
          <w:color w:val="000000"/>
          <w:u w:color="000000"/>
        </w:rPr>
        <w:t xml:space="preserve">ZPW </w:t>
      </w:r>
      <w:r>
        <w:rPr>
          <w:color w:val="000000"/>
          <w:u w:color="000000"/>
        </w:rPr>
        <w:t>do rodzaju terenów, dla których obowiązują dopuszczalne poziomy hałasu jak dla terenów przeznaczonych na cele rekreacyjno-wypoczynkowe.</w:t>
      </w:r>
    </w:p>
    <w:p w14:paraId="60893493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9. </w:t>
      </w:r>
      <w:r>
        <w:rPr>
          <w:color w:val="000000"/>
          <w:u w:color="000000"/>
        </w:rPr>
        <w:t>Ustala się nakaz wprowadzenia zieleni wysokiej w terenach U-P w strefie zieleni izolacyjnej, oznaczonej na rysunku planu.</w:t>
      </w:r>
    </w:p>
    <w:p w14:paraId="0AB2C6AB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10. </w:t>
      </w:r>
      <w:r>
        <w:rPr>
          <w:color w:val="000000"/>
          <w:u w:color="000000"/>
        </w:rPr>
        <w:t>Ustala się nakaz utrzymania ciągłości cieków wodnych i rowów melioracyjnych (ujawnionych i nieujawnionych na rysunku planu) w całym obszarze objętym planem oraz dopuszcza się wykonywanie przy nich robót budowlanych, konserwacyjnych, regulacyjnych i związanych z ochroną przed powodzią.</w:t>
      </w:r>
    </w:p>
    <w:p w14:paraId="077C4ABE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11. </w:t>
      </w:r>
      <w:r>
        <w:rPr>
          <w:color w:val="000000"/>
          <w:u w:color="000000"/>
        </w:rPr>
        <w:t>Obszar planu jest położony w całości w otulinie Rudniańskiego Parku Krajobrazowego, utworzonego uchwałą Nr XX/275/20 Sejmiku Województwa Małopolskiego z dnia 27 kwietnia 2020 r. (Dz.U. Woj. Małop. z dnia 13 maja 2020 r., poz. 3363).</w:t>
      </w:r>
    </w:p>
    <w:p w14:paraId="464C0C7A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12. </w:t>
      </w:r>
      <w:r>
        <w:rPr>
          <w:color w:val="000000"/>
          <w:u w:color="000000"/>
        </w:rPr>
        <w:t>Część obszaru objętego planem znajduje się w obszarze Głównego Zbiornika Wód Podziemnych Nr 452 „Chrzanów”. Zasady ochrony zasobów wodnych, w zakresie odprowadzania ścieków oraz wód opadowych i roztopowych, określono w rozdziale 6.</w:t>
      </w:r>
    </w:p>
    <w:p w14:paraId="6E8779A9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13. </w:t>
      </w:r>
      <w:r>
        <w:rPr>
          <w:color w:val="000000"/>
          <w:u w:color="000000"/>
        </w:rPr>
        <w:t>Dla stref oddziaływań ekstremalnych, zagrożeń oraz uciążliwości autostrady A4 obowiązują ograniczenia wynikające z decyzji lokalizacyjnej autostrady. Realizacja budynków z pomieszczeniami przeznaczonymi na stały pobyt ludzi w strefie uciążliwości wymaga zastosowania rozwiązań technicznych zapewniających minimalizację zagrożeń i uciążliwości związanych z eksploatacją autostrady, na zasadach określonych w przepisach odrębnych dotyczących sytuowania budynków.</w:t>
      </w:r>
    </w:p>
    <w:p w14:paraId="5E534453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14. </w:t>
      </w:r>
      <w:r>
        <w:rPr>
          <w:color w:val="000000"/>
          <w:u w:color="000000"/>
        </w:rPr>
        <w:t>W granicach obszaru objętego planem znajduje się wapiennik przy drodze powiatowej do Krzeszowic, obiekt wpisany do gminnej ewidencji zabytków, dla którego ustala się nakaz zachowania gabarytu, co do formy obiektu i geometrii dachu, oraz materiałów z jakich jest wykonany.</w:t>
      </w:r>
    </w:p>
    <w:p w14:paraId="3B710EC7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15. </w:t>
      </w:r>
      <w:r>
        <w:rPr>
          <w:color w:val="000000"/>
          <w:u w:color="000000"/>
        </w:rPr>
        <w:t>W obszarze planu znajdują się stanowiska archeologiczne:</w:t>
      </w:r>
    </w:p>
    <w:p w14:paraId="7B50ADF9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nr 2 - osada z okresu neolitu i epoki brązu;</w:t>
      </w:r>
    </w:p>
    <w:p w14:paraId="612F26CF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nr 4 - osada z okresu neolitu i epoki brązu;</w:t>
      </w:r>
    </w:p>
    <w:p w14:paraId="68F0CF0E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nr 7 - cmentarzysko z epoki brązu;</w:t>
      </w:r>
    </w:p>
    <w:p w14:paraId="79442F96" w14:textId="77777777" w:rsidR="00C94CF2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instrText>MERGEFIELD COMMONPART_OF_POINTS \* MERGEFORMAT</w:instrText>
      </w:r>
      <w:r>
        <w:rPr>
          <w:color w:val="000000"/>
          <w:u w:color="000000"/>
        </w:rPr>
        <w:fldChar w:fldCharType="separate"/>
      </w:r>
      <w:r>
        <w:t>– </w:t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dla których wszelkie działania wymagające prowadzenia robót ziemnych (z wyjątkiem związanych z uprawami rolnymi) w obrębie stanowisk wymagają postępowania zgodnie z przepisami odrębnymi.</w:t>
      </w:r>
    </w:p>
    <w:p w14:paraId="47E29616" w14:textId="77777777" w:rsidR="00C94CF2" w:rsidRDefault="00000000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4.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Przeznaczenie i wskaźniki zagospodarowania terenów oraz zasady kształtowania zabudowy i krajobrazu</w:t>
      </w:r>
    </w:p>
    <w:p w14:paraId="5AA4A8ED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16. </w:t>
      </w:r>
      <w:r>
        <w:rPr>
          <w:color w:val="000000"/>
          <w:u w:color="000000"/>
        </w:rPr>
        <w:t xml:space="preserve">Wyznacza się </w:t>
      </w:r>
      <w:r>
        <w:rPr>
          <w:b/>
          <w:color w:val="000000"/>
          <w:u w:color="000000"/>
        </w:rPr>
        <w:t xml:space="preserve">tereny zabudowy mieszkaniowej jednorodzinnej </w:t>
      </w:r>
      <w:r>
        <w:rPr>
          <w:color w:val="000000"/>
          <w:u w:color="000000"/>
        </w:rPr>
        <w:t xml:space="preserve">oznaczone na rysunku planu symbolami identyfikacyjnymi </w:t>
      </w:r>
      <w:r>
        <w:rPr>
          <w:b/>
          <w:color w:val="000000"/>
          <w:u w:color="000000"/>
        </w:rPr>
        <w:t>01MN – 02MN</w:t>
      </w:r>
      <w:r>
        <w:rPr>
          <w:color w:val="000000"/>
          <w:u w:color="000000"/>
        </w:rPr>
        <w:t>, dla których:</w:t>
      </w:r>
    </w:p>
    <w:p w14:paraId="79F16B41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ustala się przeznaczenie: teren zabudowy mieszkaniowej jednorodzinnej;</w:t>
      </w:r>
    </w:p>
    <w:p w14:paraId="3DAC90AD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ustala się przeznaczenie uzupełniające: teren usług;</w:t>
      </w:r>
    </w:p>
    <w:p w14:paraId="203724A0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wyklucza się przeznaczenie: teren zabudowy mieszkaniowej jednorodzinnej bliźniaczej, szeregowej lub grupowej,</w:t>
      </w:r>
    </w:p>
    <w:p w14:paraId="7E84D78D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ustala się zasady zagospodarowania terenu:</w:t>
      </w:r>
    </w:p>
    <w:p w14:paraId="494E3CB9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usługi, o których mowa w pkt 2, mogą być realizowane jako budynki lub ich części o powierzchni użytkowej do 50 m</w:t>
      </w:r>
      <w:r>
        <w:rPr>
          <w:color w:val="000000"/>
          <w:u w:color="000000"/>
          <w:vertAlign w:val="superscript"/>
        </w:rPr>
        <w:t>2</w:t>
      </w:r>
      <w:r>
        <w:rPr>
          <w:color w:val="000000"/>
          <w:u w:color="000000"/>
        </w:rPr>
        <w:t>;</w:t>
      </w:r>
    </w:p>
    <w:p w14:paraId="597C72D3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dopuszcza się realizację</w:t>
      </w:r>
    </w:p>
    <w:p w14:paraId="164DFEE4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urządzeń budowlanych i uzbrojenia terenu niezbędnych do funkcjonowania przeznaczenia, o którym mowa w pkt 1 i 2;</w:t>
      </w:r>
    </w:p>
    <w:p w14:paraId="49383C6E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obiektów, sieci i urządzeń infrastruktury technicznej,</w:t>
      </w:r>
    </w:p>
    <w:p w14:paraId="0D732C5E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dojść i dojazdów,</w:t>
      </w:r>
    </w:p>
    <w:p w14:paraId="1679D4EA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miejsc postojowych,</w:t>
      </w:r>
    </w:p>
    <w:p w14:paraId="5AE9C26A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obiektów gospodarczych i garażowych,</w:t>
      </w:r>
    </w:p>
    <w:p w14:paraId="54D43931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ciągów pieszych i rowerowych;</w:t>
      </w:r>
    </w:p>
    <w:p w14:paraId="6CA30116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ustala się zasady kształtowania zabudowy oraz wskaźniki zagospodarowania terenu:</w:t>
      </w:r>
    </w:p>
    <w:p w14:paraId="446DA599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minimalny udział procentowy powierzchni biologicznie czynnej w odniesieniu do powierzchni działki budowlanej: 50%,</w:t>
      </w:r>
    </w:p>
    <w:p w14:paraId="3D76BB1E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maksymalna wysokość zabudowy: 11 m,</w:t>
      </w:r>
    </w:p>
    <w:p w14:paraId="0EF55441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geometria dachów:</w:t>
      </w:r>
    </w:p>
    <w:p w14:paraId="74ADF9BB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dla budynków mieszkalnych: dwu lub wielospadowe, o symetrycznym układzie głównych połaci dachowych (nie dotyczy otwarć i innych drugorzędnych połaci dachu) i kącie ich nachylenia z przedziału 37</w:t>
      </w:r>
      <w:r>
        <w:rPr>
          <w:color w:val="000000"/>
          <w:u w:color="000000"/>
          <w:vertAlign w:val="superscript"/>
        </w:rPr>
        <w:t xml:space="preserve">o </w:t>
      </w:r>
      <w:r>
        <w:rPr>
          <w:color w:val="000000"/>
          <w:u w:color="000000"/>
        </w:rPr>
        <w:t>- 45</w:t>
      </w:r>
      <w:r>
        <w:rPr>
          <w:color w:val="000000"/>
          <w:u w:color="000000"/>
          <w:vertAlign w:val="superscript"/>
        </w:rPr>
        <w:t>o</w:t>
      </w:r>
      <w:r>
        <w:rPr>
          <w:color w:val="000000"/>
          <w:u w:color="000000"/>
        </w:rPr>
        <w:t>,</w:t>
      </w:r>
    </w:p>
    <w:p w14:paraId="51527D02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dla pozostałych budynków: dwu lub wielospadowe oraz dachy jednospadowe, o kącie nachylenia połaci dachowych z przedziału 25</w:t>
      </w:r>
      <w:r>
        <w:rPr>
          <w:color w:val="000000"/>
          <w:u w:color="000000"/>
          <w:vertAlign w:val="superscript"/>
        </w:rPr>
        <w:t xml:space="preserve">o </w:t>
      </w:r>
      <w:r>
        <w:rPr>
          <w:color w:val="000000"/>
          <w:u w:color="000000"/>
        </w:rPr>
        <w:t>- 45</w:t>
      </w:r>
      <w:r>
        <w:rPr>
          <w:color w:val="000000"/>
          <w:u w:color="000000"/>
          <w:vertAlign w:val="superscript"/>
        </w:rPr>
        <w:t>o</w:t>
      </w:r>
      <w:r>
        <w:rPr>
          <w:color w:val="000000"/>
          <w:u w:color="000000"/>
        </w:rPr>
        <w:t>,</w:t>
      </w:r>
    </w:p>
    <w:p w14:paraId="64929C27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dopuszcza się dachy płaskie na części budynku o wysokości do krawędzi attyki do 4 m;</w:t>
      </w:r>
    </w:p>
    <w:p w14:paraId="677D699E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gabaryty zabudowy: rzut budynku o skrajnych wymiarach do 20 m,</w:t>
      </w:r>
    </w:p>
    <w:p w14:paraId="5149D05A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minimalna i maksymalna intensywność zabudowy: od 0,05 do 0,6;</w:t>
      </w:r>
    </w:p>
    <w:p w14:paraId="17CAF380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ustala się minimalną liczbę miejsc do parkowania i sposób ich realizacji:</w:t>
      </w:r>
    </w:p>
    <w:p w14:paraId="5FEC3111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zabudowa mieszkaniowa: minimum 1 miejsce na 1 mieszkanie (liczone łącznie z garażem);</w:t>
      </w:r>
    </w:p>
    <w:p w14:paraId="03234287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usługi handlu: minimum 1 miejsce na każde 30 m</w:t>
      </w:r>
      <w:r>
        <w:rPr>
          <w:color w:val="000000"/>
          <w:u w:color="000000"/>
          <w:vertAlign w:val="superscript"/>
        </w:rPr>
        <w:t xml:space="preserve">2 </w:t>
      </w:r>
      <w:r>
        <w:rPr>
          <w:color w:val="000000"/>
          <w:u w:color="000000"/>
        </w:rPr>
        <w:t>powierzchni sprzedaży;</w:t>
      </w:r>
    </w:p>
    <w:p w14:paraId="7ABBF75A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gastronomia: minimum 1 miejsce na każde 10 miejsc konsumpcyjnych;</w:t>
      </w:r>
    </w:p>
    <w:p w14:paraId="180D2E63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hotele, motele, pensjonaty: minimum 1 miejsce na każde 10 miejsc noclegowych;</w:t>
      </w:r>
    </w:p>
    <w:p w14:paraId="4CB94BBA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przychodnie, gabinety lekarskie: minimum 1 miejsce na każde 50 m</w:t>
      </w:r>
      <w:r>
        <w:rPr>
          <w:color w:val="000000"/>
          <w:u w:color="000000"/>
          <w:vertAlign w:val="superscript"/>
        </w:rPr>
        <w:t xml:space="preserve">2 </w:t>
      </w:r>
      <w:r>
        <w:rPr>
          <w:color w:val="000000"/>
          <w:u w:color="000000"/>
        </w:rPr>
        <w:t>powierzchni użytkowej;</w:t>
      </w:r>
    </w:p>
    <w:p w14:paraId="7B9B0E83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inne usługi, rzemiosło: minimum 1 miejsce na każde 50 m</w:t>
      </w:r>
      <w:r>
        <w:rPr>
          <w:color w:val="000000"/>
          <w:u w:color="000000"/>
          <w:vertAlign w:val="superscript"/>
        </w:rPr>
        <w:t xml:space="preserve">2 </w:t>
      </w:r>
      <w:r>
        <w:rPr>
          <w:color w:val="000000"/>
          <w:u w:color="000000"/>
        </w:rPr>
        <w:t>powierzchni użytkowej;</w:t>
      </w:r>
    </w:p>
    <w:p w14:paraId="06889FAB" w14:textId="77777777" w:rsidR="00C94CF2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instrText>MERGEFIELD COMMONPART_OF_POINTS \* MERGEFORMAT</w:instrText>
      </w:r>
      <w:r>
        <w:rPr>
          <w:color w:val="000000"/>
          <w:u w:color="000000"/>
        </w:rPr>
        <w:fldChar w:fldCharType="separate"/>
      </w:r>
      <w:r>
        <w:t>– </w:t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realizowane na terenie inwestycji;</w:t>
      </w:r>
    </w:p>
    <w:p w14:paraId="42622223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dla zabudowy usługowej ustala się minimalną liczbę miejsc do parkowania przeznaczoną na parkowanie pojazdów zaopatrzonych w kartę parkingową: co najmniej 1 miejsce realizowane na terenie inwestycji.</w:t>
      </w:r>
    </w:p>
    <w:p w14:paraId="49C46956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 xml:space="preserve">ustala się minimalną powierzchnie </w:t>
      </w:r>
      <w:proofErr w:type="spellStart"/>
      <w:r>
        <w:rPr>
          <w:color w:val="000000"/>
          <w:u w:color="000000"/>
        </w:rPr>
        <w:t>nowowydzielanych</w:t>
      </w:r>
      <w:proofErr w:type="spellEnd"/>
      <w:r>
        <w:rPr>
          <w:color w:val="000000"/>
          <w:u w:color="000000"/>
        </w:rPr>
        <w:t xml:space="preserve"> działek budowlanych: 700 m</w:t>
      </w:r>
      <w:r>
        <w:rPr>
          <w:color w:val="000000"/>
          <w:u w:color="000000"/>
          <w:vertAlign w:val="superscript"/>
        </w:rPr>
        <w:t>2</w:t>
      </w:r>
      <w:r>
        <w:rPr>
          <w:color w:val="000000"/>
          <w:u w:color="000000"/>
        </w:rPr>
        <w:t>.</w:t>
      </w:r>
    </w:p>
    <w:p w14:paraId="0F09F32B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17. </w:t>
      </w:r>
      <w:r>
        <w:rPr>
          <w:color w:val="000000"/>
          <w:u w:color="000000"/>
        </w:rPr>
        <w:t xml:space="preserve">Wyznacza się </w:t>
      </w:r>
      <w:r>
        <w:rPr>
          <w:b/>
          <w:color w:val="000000"/>
          <w:u w:color="000000"/>
        </w:rPr>
        <w:t xml:space="preserve">tereny zabudowy mieszkaniowej jednorodzinnej lub usług </w:t>
      </w:r>
      <w:r>
        <w:rPr>
          <w:color w:val="000000"/>
          <w:u w:color="000000"/>
        </w:rPr>
        <w:t xml:space="preserve">oznaczone na rysunku planu symbolami identyfikacyjnymi </w:t>
      </w:r>
      <w:r>
        <w:rPr>
          <w:b/>
          <w:color w:val="000000"/>
          <w:u w:color="000000"/>
        </w:rPr>
        <w:t>01MN-U – 02MN-U</w:t>
      </w:r>
      <w:r>
        <w:rPr>
          <w:color w:val="000000"/>
          <w:u w:color="000000"/>
        </w:rPr>
        <w:t>, dla których:</w:t>
      </w:r>
    </w:p>
    <w:p w14:paraId="0BC273D1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ustala się przeznaczenie: teren zabudowy mieszkaniowej jednorodzinnej lub usług;</w:t>
      </w:r>
    </w:p>
    <w:p w14:paraId="3DE1DF6F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wyklucza się przeznaczenie:</w:t>
      </w:r>
    </w:p>
    <w:p w14:paraId="1D457C3E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teren zabudowy mieszkaniowej jednorodzinnej bliźniaczej, szeregowej lub grupowej,</w:t>
      </w:r>
    </w:p>
    <w:p w14:paraId="0DBC24FA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teren usług handlu wielkopowierzchniowego;</w:t>
      </w:r>
    </w:p>
    <w:p w14:paraId="05E3451E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ustala się zasady zagospodarowania terenu – dopuszcza się realizację:</w:t>
      </w:r>
    </w:p>
    <w:p w14:paraId="7ADF4F82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urządzeń budowlanych i uzbrojenia terenu niezbędnych do funkcjonowania przeznaczenia, o którym mowa w pkt 1;</w:t>
      </w:r>
    </w:p>
    <w:p w14:paraId="63FA3698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obiektów, sieci i urządzeń infrastruktury technicznej,</w:t>
      </w:r>
    </w:p>
    <w:p w14:paraId="110D558A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dojść i dojazdów,</w:t>
      </w:r>
    </w:p>
    <w:p w14:paraId="47974D53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miejsc postojowych,</w:t>
      </w:r>
    </w:p>
    <w:p w14:paraId="127E39DA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obiektów gospodarczych i garażowych,</w:t>
      </w:r>
    </w:p>
    <w:p w14:paraId="0F7E2BBA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ciągów pieszych i rowerowych;</w:t>
      </w:r>
    </w:p>
    <w:p w14:paraId="766035A4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ustala się zasady kształtowania zabudowy oraz wskaźniki zagospodarowania terenu:</w:t>
      </w:r>
    </w:p>
    <w:p w14:paraId="63F6C1D2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minimalny udział procentowy powierzchni biologicznie czynnej w odniesieniu do powierzchni działki budowlanej: 50%,</w:t>
      </w:r>
    </w:p>
    <w:p w14:paraId="0C768F33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maksymalna wysokość zabudowy:</w:t>
      </w:r>
    </w:p>
    <w:p w14:paraId="3B605F4F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dla budynków mieszkalnych, mieszkalno-usługowych i usługowych: 11 m,</w:t>
      </w:r>
    </w:p>
    <w:p w14:paraId="7B3533FC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dla pozostałych budynków: 6 m,</w:t>
      </w:r>
    </w:p>
    <w:p w14:paraId="43184607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dla budowli: 11 m;</w:t>
      </w:r>
    </w:p>
    <w:p w14:paraId="15436193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geometria dachów:</w:t>
      </w:r>
    </w:p>
    <w:p w14:paraId="5502EE83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dla budynków mieszkalnych i usługowych: dwu lub wielospadowe, o symetrycznym układzie głównych połaci dachowych (nie dotyczy otwarć i innych drugorzędnych połaci dachu) i kącie ich nachylenia z przedziału 37</w:t>
      </w:r>
      <w:r>
        <w:rPr>
          <w:color w:val="000000"/>
          <w:u w:color="000000"/>
          <w:vertAlign w:val="superscript"/>
        </w:rPr>
        <w:t xml:space="preserve">o </w:t>
      </w:r>
      <w:r>
        <w:rPr>
          <w:color w:val="000000"/>
          <w:u w:color="000000"/>
        </w:rPr>
        <w:t>- 45</w:t>
      </w:r>
      <w:r>
        <w:rPr>
          <w:color w:val="000000"/>
          <w:u w:color="000000"/>
          <w:vertAlign w:val="superscript"/>
        </w:rPr>
        <w:t>o</w:t>
      </w:r>
      <w:r>
        <w:rPr>
          <w:color w:val="000000"/>
          <w:u w:color="000000"/>
        </w:rPr>
        <w:t>,</w:t>
      </w:r>
    </w:p>
    <w:p w14:paraId="6C84F493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dla pozostałych budynków: dwu lub wielospadowe oraz dachy jednospadowe, o kącie nachylenia połaci dachowych z przedziału 25</w:t>
      </w:r>
      <w:r>
        <w:rPr>
          <w:color w:val="000000"/>
          <w:u w:color="000000"/>
          <w:vertAlign w:val="superscript"/>
        </w:rPr>
        <w:t xml:space="preserve">o </w:t>
      </w:r>
      <w:r>
        <w:rPr>
          <w:color w:val="000000"/>
          <w:u w:color="000000"/>
        </w:rPr>
        <w:t>- 45</w:t>
      </w:r>
      <w:r>
        <w:rPr>
          <w:color w:val="000000"/>
          <w:u w:color="000000"/>
          <w:vertAlign w:val="superscript"/>
        </w:rPr>
        <w:t>o</w:t>
      </w:r>
      <w:r>
        <w:rPr>
          <w:color w:val="000000"/>
          <w:u w:color="000000"/>
        </w:rPr>
        <w:t>,</w:t>
      </w:r>
    </w:p>
    <w:p w14:paraId="43A79534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dopuszcza się dachy płaskie na części budynku o wysokości do krawędzi attyki do 4 m;</w:t>
      </w:r>
    </w:p>
    <w:p w14:paraId="0F13B1A7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gabaryty zabudowy: rzut budynku o skrajnych wymiarach do 80 m,</w:t>
      </w:r>
    </w:p>
    <w:p w14:paraId="01930B45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minimalna i maksymalna intensywność zabudowy: od 0,05 do 0,8;</w:t>
      </w:r>
    </w:p>
    <w:p w14:paraId="01240101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ustala się minimalną liczbę miejsc do parkowania i sposób ich realizacji:</w:t>
      </w:r>
    </w:p>
    <w:p w14:paraId="5D4739E9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zabudowa mieszkaniowa: minimum 1 miejsce na 1 mieszkanie (liczone łącznie z garażem);</w:t>
      </w:r>
    </w:p>
    <w:p w14:paraId="10858DFA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usługi handlu: minimum 1 miejsce na każde 30 m</w:t>
      </w:r>
      <w:r>
        <w:rPr>
          <w:color w:val="000000"/>
          <w:u w:color="000000"/>
          <w:vertAlign w:val="superscript"/>
        </w:rPr>
        <w:t xml:space="preserve">2 </w:t>
      </w:r>
      <w:r>
        <w:rPr>
          <w:color w:val="000000"/>
          <w:u w:color="000000"/>
        </w:rPr>
        <w:t>powierzchni sprzedaży;</w:t>
      </w:r>
    </w:p>
    <w:p w14:paraId="6EA47161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gastronomia: minimum 1 miejsce na każde 10 miejsc konsumpcyjnych;</w:t>
      </w:r>
    </w:p>
    <w:p w14:paraId="359E93F8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hotele, motele, pensjonaty: minimum 1 miejsce na każde 10 miejsc noclegowych;</w:t>
      </w:r>
    </w:p>
    <w:p w14:paraId="1F9F6324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przychodnie, gabinety lekarskie: minimum 1 miejsce na każde 50 m</w:t>
      </w:r>
      <w:r>
        <w:rPr>
          <w:color w:val="000000"/>
          <w:u w:color="000000"/>
          <w:vertAlign w:val="superscript"/>
        </w:rPr>
        <w:t xml:space="preserve">2 </w:t>
      </w:r>
      <w:r>
        <w:rPr>
          <w:color w:val="000000"/>
          <w:u w:color="000000"/>
        </w:rPr>
        <w:t>powierzchni użytkowej;</w:t>
      </w:r>
    </w:p>
    <w:p w14:paraId="40AB31F2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inne usługi, rzemiosło: minimum 1 miejsce na każde 50 m</w:t>
      </w:r>
      <w:r>
        <w:rPr>
          <w:color w:val="000000"/>
          <w:u w:color="000000"/>
          <w:vertAlign w:val="superscript"/>
        </w:rPr>
        <w:t xml:space="preserve">2 </w:t>
      </w:r>
      <w:r>
        <w:rPr>
          <w:color w:val="000000"/>
          <w:u w:color="000000"/>
        </w:rPr>
        <w:t>powierzchni użytkowej;</w:t>
      </w:r>
    </w:p>
    <w:p w14:paraId="02A7F0E7" w14:textId="77777777" w:rsidR="00C94CF2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instrText>MERGEFIELD COMMONPART_OF_POINTS \* MERGEFORMAT</w:instrText>
      </w:r>
      <w:r>
        <w:rPr>
          <w:color w:val="000000"/>
          <w:u w:color="000000"/>
        </w:rPr>
        <w:fldChar w:fldCharType="separate"/>
      </w:r>
      <w:r>
        <w:t>– </w:t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realizowane na terenie inwestycji;</w:t>
      </w:r>
    </w:p>
    <w:p w14:paraId="7FD1752D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dla zabudowy usługowej ustala się minimalną liczbę miejsc do parkowania przeznaczoną na parkowanie pojazdów zaopatrzonych w kartę parkingową: co najmniej 1 miejsce na każde 200 m</w:t>
      </w:r>
      <w:r>
        <w:rPr>
          <w:color w:val="000000"/>
          <w:u w:color="000000"/>
          <w:vertAlign w:val="superscript"/>
        </w:rPr>
        <w:t>2</w:t>
      </w:r>
      <w:r>
        <w:rPr>
          <w:color w:val="000000"/>
          <w:u w:color="000000"/>
        </w:rPr>
        <w:t xml:space="preserve"> powierzchni użytkowej budynku lecz nie mniej niż 1 miejsce, realizowane na terenie inwestycji.</w:t>
      </w:r>
    </w:p>
    <w:p w14:paraId="21894673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 xml:space="preserve">ustala się minimalną powierzchnie </w:t>
      </w:r>
      <w:proofErr w:type="spellStart"/>
      <w:r>
        <w:rPr>
          <w:color w:val="000000"/>
          <w:u w:color="000000"/>
        </w:rPr>
        <w:t>nowowydzielanych</w:t>
      </w:r>
      <w:proofErr w:type="spellEnd"/>
      <w:r>
        <w:rPr>
          <w:color w:val="000000"/>
          <w:u w:color="000000"/>
        </w:rPr>
        <w:t xml:space="preserve"> działek budowlanych: 700 m</w:t>
      </w:r>
      <w:r>
        <w:rPr>
          <w:color w:val="000000"/>
          <w:u w:color="000000"/>
          <w:vertAlign w:val="superscript"/>
        </w:rPr>
        <w:t>2</w:t>
      </w:r>
      <w:r>
        <w:rPr>
          <w:color w:val="000000"/>
          <w:u w:color="000000"/>
        </w:rPr>
        <w:t>.</w:t>
      </w:r>
    </w:p>
    <w:p w14:paraId="2A606100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18. </w:t>
      </w:r>
      <w:r>
        <w:rPr>
          <w:color w:val="000000"/>
          <w:u w:color="000000"/>
        </w:rPr>
        <w:t xml:space="preserve">Wyznacza się </w:t>
      </w:r>
      <w:r>
        <w:rPr>
          <w:b/>
          <w:color w:val="000000"/>
          <w:u w:color="000000"/>
        </w:rPr>
        <w:t xml:space="preserve">tereny usług lub produkcji </w:t>
      </w:r>
      <w:r>
        <w:rPr>
          <w:color w:val="000000"/>
          <w:u w:color="000000"/>
        </w:rPr>
        <w:t xml:space="preserve">oznaczone na rysunku planu symbolami identyfikacyjnymi </w:t>
      </w:r>
      <w:r>
        <w:rPr>
          <w:b/>
          <w:color w:val="000000"/>
          <w:u w:color="000000"/>
        </w:rPr>
        <w:t>01U-P – 06U-P</w:t>
      </w:r>
      <w:r>
        <w:rPr>
          <w:color w:val="000000"/>
          <w:u w:color="000000"/>
        </w:rPr>
        <w:t>, dla których:</w:t>
      </w:r>
    </w:p>
    <w:p w14:paraId="4E7611D1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ustala się przeznaczenie: teren usług lub produkcji;</w:t>
      </w:r>
    </w:p>
    <w:p w14:paraId="22967072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wyklucza się przeznaczenie: teren usług handlu wielkopowierzchniowego oraz elektrowni wiatrowej;</w:t>
      </w:r>
    </w:p>
    <w:p w14:paraId="00648003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zakazuje się realizacji:</w:t>
      </w:r>
    </w:p>
    <w:p w14:paraId="2A8FA837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przedsięwzięć mogących zawsze znacząco oddziaływać na środowisko,</w:t>
      </w:r>
    </w:p>
    <w:p w14:paraId="64351781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zakładów o zwiększonym lub dużym ryzyku wystąpienia poważnej awarii przemysłowej;</w:t>
      </w:r>
    </w:p>
    <w:p w14:paraId="63D389B3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ustala się zasady zagospodarowania terenu – dopuszcza się realizację:</w:t>
      </w:r>
    </w:p>
    <w:p w14:paraId="45569010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urządzeń budowlanych i uzbrojenia terenu niezbędnych do funkcjonowania przeznaczenia, o którym mowa w pkt 1;</w:t>
      </w:r>
    </w:p>
    <w:p w14:paraId="24E18F34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w terenach 04U-P, 05U-P i 06U-P urządzeń do pozyskiwania energii z odnawialnych źródeł energii o mocy przekraczającej 500 kW;</w:t>
      </w:r>
    </w:p>
    <w:p w14:paraId="7C3F8C1D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obiektów, sieci i urządzeń infrastruktury technicznej,</w:t>
      </w:r>
    </w:p>
    <w:p w14:paraId="2CEF26A7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dojść i dojazdów,</w:t>
      </w:r>
    </w:p>
    <w:p w14:paraId="6DAAA0B8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parkingów,</w:t>
      </w:r>
    </w:p>
    <w:p w14:paraId="45E49AB2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obiektów gospodarczych i garażowych,</w:t>
      </w:r>
    </w:p>
    <w:p w14:paraId="6E0F6F36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g) </w:t>
      </w:r>
      <w:r>
        <w:rPr>
          <w:color w:val="000000"/>
          <w:u w:color="000000"/>
        </w:rPr>
        <w:t>ciągów pieszych i rowerowych;</w:t>
      </w:r>
    </w:p>
    <w:p w14:paraId="612A4E92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ustala się zasady kształtowania zabudowy oraz wskaźniki zagospodarowania terenu:</w:t>
      </w:r>
    </w:p>
    <w:p w14:paraId="2F151CDE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minimalny udział procentowy powierzchni biologicznie czynnej w odniesieniu do powierzchni działki budowlanej: 30%,</w:t>
      </w:r>
    </w:p>
    <w:p w14:paraId="580144B8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maksymalna wysokość zabudowy:</w:t>
      </w:r>
    </w:p>
    <w:p w14:paraId="43B6190A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 terenach 01U-P, 02U-P, 05U-P, 06U-P: 12 m,</w:t>
      </w:r>
    </w:p>
    <w:p w14:paraId="3BEB7870" w14:textId="77777777" w:rsidR="00C94CF2" w:rsidRDefault="00000000">
      <w:pPr>
        <w:keepLines/>
        <w:spacing w:before="120" w:after="120"/>
        <w:ind w:left="794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 terenach 03U-P, 04U-P: 20 m;</w:t>
      </w:r>
    </w:p>
    <w:p w14:paraId="5378386D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geometria dachów: jednospadowe lub dwuspadowe, o kącie nachylenia połaci dachowych z przedziału 20</w:t>
      </w:r>
      <w:r>
        <w:rPr>
          <w:color w:val="000000"/>
          <w:u w:color="000000"/>
          <w:vertAlign w:val="superscript"/>
        </w:rPr>
        <w:t xml:space="preserve">o </w:t>
      </w:r>
      <w:r>
        <w:rPr>
          <w:color w:val="000000"/>
          <w:u w:color="000000"/>
        </w:rPr>
        <w:t>- 30</w:t>
      </w:r>
      <w:r>
        <w:rPr>
          <w:color w:val="000000"/>
          <w:u w:color="000000"/>
          <w:vertAlign w:val="superscript"/>
        </w:rPr>
        <w:t>o</w:t>
      </w:r>
      <w:r>
        <w:rPr>
          <w:color w:val="000000"/>
          <w:u w:color="000000"/>
        </w:rPr>
        <w:t xml:space="preserve"> oraz dachy płaskie;</w:t>
      </w:r>
    </w:p>
    <w:p w14:paraId="4619A256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gabaryty zabudowy: rzut budynku o skrajnych wymiarach do 400 m,</w:t>
      </w:r>
    </w:p>
    <w:p w14:paraId="607596EE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minimalna i maksymalna intensywność zabudowy: od 0,1 do 1,2;</w:t>
      </w:r>
    </w:p>
    <w:p w14:paraId="1A2C1290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ustala się minimalną liczbę miejsc do parkowania i sposób ich realizacji:</w:t>
      </w:r>
    </w:p>
    <w:p w14:paraId="27D0D995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usługi handlu: minimum 1 miejsce na każde 50 m</w:t>
      </w:r>
      <w:r>
        <w:rPr>
          <w:color w:val="000000"/>
          <w:u w:color="000000"/>
          <w:vertAlign w:val="superscript"/>
        </w:rPr>
        <w:t xml:space="preserve">2 </w:t>
      </w:r>
      <w:r>
        <w:rPr>
          <w:color w:val="000000"/>
          <w:u w:color="000000"/>
        </w:rPr>
        <w:t>powierzchni sprzedaży;</w:t>
      </w:r>
    </w:p>
    <w:p w14:paraId="1237F69C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gastronomia: minimum 1 miejsce na każde 10 miejsc konsumpcyjnych;</w:t>
      </w:r>
    </w:p>
    <w:p w14:paraId="07FC6B1C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hotele, motele, pensjonaty: minimum 1 miejsce na każde 10 miejsc noclegowych;</w:t>
      </w:r>
    </w:p>
    <w:p w14:paraId="79A5B9A1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przychodnie, gabinety lekarskie: minimum 1 miejsce na każde 50 m</w:t>
      </w:r>
      <w:r>
        <w:rPr>
          <w:color w:val="000000"/>
          <w:u w:color="000000"/>
          <w:vertAlign w:val="superscript"/>
        </w:rPr>
        <w:t xml:space="preserve">2 </w:t>
      </w:r>
      <w:r>
        <w:rPr>
          <w:color w:val="000000"/>
          <w:u w:color="000000"/>
        </w:rPr>
        <w:t>powierzchni użytkowej;</w:t>
      </w:r>
    </w:p>
    <w:p w14:paraId="65CF58FC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inne usługi, rzemiosło: minimum 1 miejsce na każde 50 m</w:t>
      </w:r>
      <w:r>
        <w:rPr>
          <w:color w:val="000000"/>
          <w:u w:color="000000"/>
          <w:vertAlign w:val="superscript"/>
        </w:rPr>
        <w:t xml:space="preserve">2 </w:t>
      </w:r>
      <w:r>
        <w:rPr>
          <w:color w:val="000000"/>
          <w:u w:color="000000"/>
        </w:rPr>
        <w:t>powierzchni użytkowej;</w:t>
      </w:r>
    </w:p>
    <w:p w14:paraId="5E95B35B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produkcja, składy i magazyny: minimum 1 miejsce na każdych 5 zatrudnionych;</w:t>
      </w:r>
    </w:p>
    <w:p w14:paraId="300E94E8" w14:textId="77777777" w:rsidR="00C94CF2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instrText>MERGEFIELD COMMONPART_OF_POINTS \* MERGEFORMAT</w:instrText>
      </w:r>
      <w:r>
        <w:rPr>
          <w:color w:val="000000"/>
          <w:u w:color="000000"/>
        </w:rPr>
        <w:fldChar w:fldCharType="separate"/>
      </w:r>
      <w:r>
        <w:t>– </w:t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realizowane na terenie inwestycji.</w:t>
      </w:r>
    </w:p>
    <w:p w14:paraId="3A7362DF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ustala się minimalną liczbę miejsc do parkowania przeznaczoną na parkowanie pojazdów zaopatrzonych w kartę parkingową: co najmniej 1 miejsce na każde 500 m</w:t>
      </w:r>
      <w:r>
        <w:rPr>
          <w:color w:val="000000"/>
          <w:u w:color="000000"/>
          <w:vertAlign w:val="superscript"/>
        </w:rPr>
        <w:t>2</w:t>
      </w:r>
      <w:r>
        <w:rPr>
          <w:color w:val="000000"/>
          <w:u w:color="000000"/>
        </w:rPr>
        <w:t xml:space="preserve"> powierzchni użytkowej budynku lub 1 miejsce na każdych 15 zatrudnionych, lecz nie mniej niż 1 miejsce, realizowane na terenie inwestycji.</w:t>
      </w:r>
    </w:p>
    <w:p w14:paraId="77A4CFA3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19. </w:t>
      </w:r>
      <w:r>
        <w:t>1. </w:t>
      </w:r>
      <w:r>
        <w:rPr>
          <w:color w:val="000000"/>
          <w:u w:color="000000"/>
        </w:rPr>
        <w:t xml:space="preserve">Wyznacza się </w:t>
      </w:r>
      <w:r>
        <w:rPr>
          <w:b/>
          <w:color w:val="000000"/>
          <w:u w:color="000000"/>
        </w:rPr>
        <w:t xml:space="preserve">tereny dróg lokalnych </w:t>
      </w:r>
      <w:r>
        <w:rPr>
          <w:color w:val="000000"/>
          <w:u w:color="000000"/>
        </w:rPr>
        <w:t xml:space="preserve">oznaczone na rysunku planu symbolami identyfikacyjnym </w:t>
      </w:r>
      <w:r>
        <w:rPr>
          <w:b/>
          <w:color w:val="000000"/>
          <w:u w:color="000000"/>
        </w:rPr>
        <w:t>01KDL – 02KDL</w:t>
      </w:r>
      <w:r>
        <w:rPr>
          <w:color w:val="000000"/>
          <w:u w:color="000000"/>
        </w:rPr>
        <w:t>, dla których ustala się przeznaczenie: teren drogi lokalnej (L), w ciągu dróg gminnych.</w:t>
      </w:r>
    </w:p>
    <w:p w14:paraId="08BE9D20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 xml:space="preserve">Wyznacza się </w:t>
      </w:r>
      <w:r>
        <w:rPr>
          <w:b/>
          <w:color w:val="000000"/>
          <w:u w:color="000000"/>
        </w:rPr>
        <w:t xml:space="preserve">tereny komunikacji drogowej wewnętrznej </w:t>
      </w:r>
      <w:r>
        <w:rPr>
          <w:color w:val="000000"/>
          <w:u w:color="000000"/>
        </w:rPr>
        <w:t xml:space="preserve">oznaczone na rysunku planu symbolami identyfikacyjnymi </w:t>
      </w:r>
      <w:r>
        <w:rPr>
          <w:b/>
          <w:color w:val="000000"/>
          <w:u w:color="000000"/>
        </w:rPr>
        <w:t>01KR – 03KR</w:t>
      </w:r>
      <w:r>
        <w:rPr>
          <w:color w:val="000000"/>
          <w:u w:color="000000"/>
        </w:rPr>
        <w:t>, dla których ustala się przeznaczenie: teren komunikacji drogowej wewnętrznej.</w:t>
      </w:r>
    </w:p>
    <w:p w14:paraId="139E8050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terenach, o których mowa w ust. 1-2 ustala się zasady zagospodarowania terenu – dopuszcza się realizację:</w:t>
      </w:r>
    </w:p>
    <w:p w14:paraId="42AD2C91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obiektów budowlanych związanych z realizacją i eksploatacją dróg;</w:t>
      </w:r>
    </w:p>
    <w:p w14:paraId="089396AA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obiektów, sieci i urządzeń infrastruktury technicznej;</w:t>
      </w:r>
    </w:p>
    <w:p w14:paraId="21079F06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miejsc postojowych w tym miejsc przeznaczonych na parkowanie pojazdów zaopatrzonych w kartę parkingową, zgodnie z przepisami odrębnymi dotyczącymi dróg publicznych;</w:t>
      </w:r>
    </w:p>
    <w:p w14:paraId="3C6C638D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ciągów pieszych i rowerowych.</w:t>
      </w:r>
    </w:p>
    <w:p w14:paraId="2533DECF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20. </w:t>
      </w:r>
      <w:r>
        <w:rPr>
          <w:color w:val="000000"/>
          <w:u w:color="000000"/>
        </w:rPr>
        <w:t xml:space="preserve">Wyznacza się </w:t>
      </w:r>
      <w:r>
        <w:rPr>
          <w:b/>
          <w:color w:val="000000"/>
          <w:u w:color="000000"/>
        </w:rPr>
        <w:t xml:space="preserve">tereny rolnictwa z zakazem zabudowy </w:t>
      </w:r>
      <w:r>
        <w:rPr>
          <w:color w:val="000000"/>
          <w:u w:color="000000"/>
        </w:rPr>
        <w:t xml:space="preserve">oznaczone na rysunku planu symbolami identyfikacyjnymi </w:t>
      </w:r>
      <w:r>
        <w:rPr>
          <w:b/>
          <w:color w:val="000000"/>
          <w:u w:color="000000"/>
        </w:rPr>
        <w:t>01RN – 02RN</w:t>
      </w:r>
      <w:r>
        <w:rPr>
          <w:color w:val="000000"/>
          <w:u w:color="000000"/>
        </w:rPr>
        <w:t>, dla których:</w:t>
      </w:r>
    </w:p>
    <w:p w14:paraId="51F762B8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ustala się przeznaczenie: teren rolnictwa z zakazem zabudowy;</w:t>
      </w:r>
    </w:p>
    <w:p w14:paraId="1A931D8A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ustala się zakaz zabudowy, z zastrzeżeniem pkt 3;</w:t>
      </w:r>
    </w:p>
    <w:p w14:paraId="18E0F1CE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ustala się zasady zagospodarowania terenu – dopuszcza się realizację sieci i urządzeń infrastruktury technicznej, obiektów melioracji wodnych, przeciwpożarowych oraz zaopatrzenia rolnictwa w wodę, a także dojazdów do gruntów rolnych.</w:t>
      </w:r>
    </w:p>
    <w:p w14:paraId="08A927EF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21. </w:t>
      </w:r>
      <w:r>
        <w:rPr>
          <w:color w:val="000000"/>
          <w:u w:color="000000"/>
        </w:rPr>
        <w:t xml:space="preserve">Wyznacza się </w:t>
      </w:r>
      <w:r>
        <w:rPr>
          <w:b/>
          <w:color w:val="000000"/>
          <w:u w:color="000000"/>
        </w:rPr>
        <w:t>teren wód powierzchniowych śródlądowych</w:t>
      </w:r>
      <w:r>
        <w:rPr>
          <w:color w:val="000000"/>
          <w:u w:color="000000"/>
        </w:rPr>
        <w:t xml:space="preserve"> oznaczony na rysunku planu symbolem identyfikacyjnym </w:t>
      </w:r>
      <w:r>
        <w:rPr>
          <w:b/>
          <w:color w:val="000000"/>
          <w:u w:color="000000"/>
        </w:rPr>
        <w:t>01WS</w:t>
      </w:r>
      <w:r>
        <w:rPr>
          <w:color w:val="000000"/>
          <w:u w:color="000000"/>
        </w:rPr>
        <w:t xml:space="preserve">, dla którego: </w:t>
      </w:r>
    </w:p>
    <w:p w14:paraId="5C6DA2DC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ustala się przeznaczenie: teren wód powierzchniowych śródlądowych;</w:t>
      </w:r>
    </w:p>
    <w:p w14:paraId="750DC41C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ustala się zakaz zabudowy, z zastrzeżeniem pkt 3;</w:t>
      </w:r>
    </w:p>
    <w:p w14:paraId="2C295F7B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ustala się zasady zagospodarowania terenu – dopuszcza się realizację:</w:t>
      </w:r>
    </w:p>
    <w:p w14:paraId="4A40CE85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obiektów budowlanych niezbędnych dla realizacji statutowych działań administratora cieku, związanych z utrzymaniem wód oraz ochroną przed powodzią,</w:t>
      </w:r>
    </w:p>
    <w:p w14:paraId="333FA02E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obiektów komunikacji drogowej,</w:t>
      </w:r>
    </w:p>
    <w:p w14:paraId="2AF0D2B7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sieci i urządzeń infrastruktury technicznej.</w:t>
      </w:r>
    </w:p>
    <w:p w14:paraId="73D06D53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22. </w:t>
      </w:r>
      <w:r>
        <w:rPr>
          <w:color w:val="000000"/>
          <w:u w:color="000000"/>
        </w:rPr>
        <w:t xml:space="preserve">Wyznacza się </w:t>
      </w:r>
      <w:r>
        <w:rPr>
          <w:b/>
          <w:color w:val="000000"/>
          <w:u w:color="000000"/>
        </w:rPr>
        <w:t xml:space="preserve">teren zieleni naturalnej </w:t>
      </w:r>
      <w:r>
        <w:rPr>
          <w:color w:val="000000"/>
          <w:u w:color="000000"/>
        </w:rPr>
        <w:t xml:space="preserve">oznaczony na rysunku planu symbolem identyfikacyjny </w:t>
      </w:r>
      <w:r>
        <w:rPr>
          <w:b/>
          <w:color w:val="000000"/>
          <w:u w:color="000000"/>
        </w:rPr>
        <w:t>01ZN</w:t>
      </w:r>
      <w:r>
        <w:rPr>
          <w:color w:val="000000"/>
          <w:u w:color="000000"/>
        </w:rPr>
        <w:t>, dla którego:</w:t>
      </w:r>
    </w:p>
    <w:p w14:paraId="1DFF07DC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ustala się przeznaczenie: teren zieleni naturalnej;</w:t>
      </w:r>
    </w:p>
    <w:p w14:paraId="5BDD3C64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ustala się zakaz zabudowy, z zastrzeżeniem pkt 3;</w:t>
      </w:r>
    </w:p>
    <w:p w14:paraId="5162AE61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ustala się zasady zagospodarowania terenu – dopuszcza się realizację sieci i urządzeń infrastruktury technicznej, obiektów melioracji wodnych, przeciwpowodziowych i przeciwpożarowych oraz zaopatrzenia rolnictwa w wodę, a także dojazdów do gruntów rolnych.</w:t>
      </w:r>
    </w:p>
    <w:p w14:paraId="51C8A836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23. </w:t>
      </w:r>
      <w:r>
        <w:rPr>
          <w:color w:val="000000"/>
          <w:u w:color="000000"/>
        </w:rPr>
        <w:t xml:space="preserve">Wyznacza się </w:t>
      </w:r>
      <w:r>
        <w:rPr>
          <w:b/>
          <w:color w:val="000000"/>
          <w:u w:color="000000"/>
        </w:rPr>
        <w:t xml:space="preserve">teren zieleni urządzonej wysokiej </w:t>
      </w:r>
      <w:r>
        <w:rPr>
          <w:color w:val="000000"/>
          <w:u w:color="000000"/>
        </w:rPr>
        <w:t xml:space="preserve">oznaczony na rysunku planu symbolem identyfikacyjnym </w:t>
      </w:r>
      <w:r>
        <w:rPr>
          <w:b/>
          <w:color w:val="000000"/>
          <w:u w:color="000000"/>
        </w:rPr>
        <w:t>01ZPW</w:t>
      </w:r>
      <w:r>
        <w:rPr>
          <w:color w:val="000000"/>
          <w:u w:color="000000"/>
        </w:rPr>
        <w:t>, dla którego:</w:t>
      </w:r>
    </w:p>
    <w:p w14:paraId="19EA0BD1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ustala się przeznaczenie: teren zieleni urządzonej wysokiej;</w:t>
      </w:r>
    </w:p>
    <w:p w14:paraId="42D40F7E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ustala się zakaz zabudowy, z zastrzeżeniem pkt 3 i 4;</w:t>
      </w:r>
    </w:p>
    <w:p w14:paraId="5C6321F3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ustala się zasady zagospodarowania terenu – dopuszcza się realizację obiektów, sieci i urządzeń infrastruktury technicznej, dojść i dojazdów oraz budowli związanych z zabezpieczaniem terenów przed hałasem;</w:t>
      </w:r>
    </w:p>
    <w:p w14:paraId="621A4490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ustala się parametry i wskaźniki kształtowania zabudowy oraz zagospodarowania terenów:</w:t>
      </w:r>
    </w:p>
    <w:p w14:paraId="24C527A0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minimalny udział procentowy powierzchni biologicznie czynnej w odniesieniu do powierzchni działki budowlanej: 90%;</w:t>
      </w:r>
    </w:p>
    <w:p w14:paraId="3A8DDA66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maksymalna wysokość zabudowy: 6 m;</w:t>
      </w:r>
    </w:p>
    <w:p w14:paraId="6F005A83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geometria dachów: dwu lub wielospadowe o jednakowym kącie nachylenia połaci dachowych z przedziału 37</w:t>
      </w:r>
      <w:r>
        <w:rPr>
          <w:color w:val="000000"/>
          <w:u w:color="000000"/>
          <w:vertAlign w:val="superscript"/>
        </w:rPr>
        <w:t xml:space="preserve">o </w:t>
      </w:r>
      <w:r>
        <w:rPr>
          <w:color w:val="000000"/>
          <w:u w:color="000000"/>
        </w:rPr>
        <w:t>- 45</w:t>
      </w:r>
      <w:r>
        <w:rPr>
          <w:color w:val="000000"/>
          <w:u w:color="000000"/>
          <w:vertAlign w:val="superscript"/>
        </w:rPr>
        <w:t>o</w:t>
      </w:r>
      <w:r>
        <w:rPr>
          <w:color w:val="000000"/>
          <w:u w:color="000000"/>
        </w:rPr>
        <w:t>,</w:t>
      </w:r>
    </w:p>
    <w:p w14:paraId="7B9D3D29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gabaryty zabudowy: rzut budynku o skrajnych wymiarach do 10 m,</w:t>
      </w:r>
    </w:p>
    <w:p w14:paraId="5A404B8C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wskaźnik intensywności zabudowy: od 0,01 do 0,1.</w:t>
      </w:r>
    </w:p>
    <w:p w14:paraId="6F9F2B39" w14:textId="77777777" w:rsidR="00C94CF2" w:rsidRDefault="00000000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5.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Ustalenie zasad modernizacji, rozbudowy i budowy systemów komunikacji</w:t>
      </w:r>
    </w:p>
    <w:p w14:paraId="484A2317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24. </w:t>
      </w:r>
      <w:r>
        <w:t>1. </w:t>
      </w:r>
      <w:r>
        <w:rPr>
          <w:color w:val="000000"/>
          <w:u w:color="000000"/>
        </w:rPr>
        <w:t>Ustala się generalne zasady obsługi komunikacyjnej:</w:t>
      </w:r>
    </w:p>
    <w:p w14:paraId="5F310D15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 pośrednictwem istniejących i planowanych dróg publicznych oraz wewnętrznych, powiązanych z układem zewnętrznym drogą powiatową;</w:t>
      </w:r>
    </w:p>
    <w:p w14:paraId="77CFD5C3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przypadku braku dróg, o których mowa w pkt 1 dopuszcza się obsługę komunikacyjną poprzez niewydzielone w planie dojazdy, ciągi pieszo-jezdne oraz służebności.</w:t>
      </w:r>
    </w:p>
    <w:p w14:paraId="7B4892B2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Ustala się następujące parametry techniczne dla dróg o symbolu KDL: szerokość w liniach rozgraniczających od 12 do 20 m - zgodnie z rysunkiem planu.</w:t>
      </w:r>
    </w:p>
    <w:p w14:paraId="2A30B66B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Ustala się następujące parametry techniczne dla terenów o symbolu KR: szerokość w liniach rozgraniczających od 5 do 13 m - zgodnie z rysunkiem planu.</w:t>
      </w:r>
    </w:p>
    <w:p w14:paraId="29D2F52C" w14:textId="77777777" w:rsidR="00C94CF2" w:rsidRDefault="00000000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6.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Ustalenie zasad modernizacji, rozbudowy i budowy sieci infrastruktury technicznej</w:t>
      </w:r>
    </w:p>
    <w:p w14:paraId="1D146BB5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25. </w:t>
      </w:r>
      <w:r>
        <w:t>1. </w:t>
      </w:r>
      <w:r>
        <w:rPr>
          <w:color w:val="000000"/>
          <w:u w:color="000000"/>
        </w:rPr>
        <w:t>Ustala się obsługę terenów przeznaczonych pod zainwestowanie przy uwzględnieniu następujących zasad:</w:t>
      </w:r>
    </w:p>
    <w:p w14:paraId="3374C69C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 xml:space="preserve">w zakresie </w:t>
      </w:r>
      <w:r>
        <w:rPr>
          <w:b/>
          <w:color w:val="000000"/>
          <w:u w:color="000000"/>
        </w:rPr>
        <w:t>odprowadzania ścieków:</w:t>
      </w:r>
      <w:r>
        <w:rPr>
          <w:color w:val="000000"/>
          <w:u w:color="000000"/>
        </w:rPr>
        <w:t> ustala się odprowadzanie ścieków do kanalizacji sanitarnej z możliwością jej przebudowy i rozbudowy. Dopuszcza się odprowadzania ścieków do szczelnych bezodpływowych zbiorników lub do przydomowych oczyszczalni ścieków;</w:t>
      </w:r>
    </w:p>
    <w:p w14:paraId="21F42FEE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 xml:space="preserve">w zakresie </w:t>
      </w:r>
      <w:r>
        <w:rPr>
          <w:b/>
          <w:color w:val="000000"/>
          <w:u w:color="000000"/>
        </w:rPr>
        <w:t xml:space="preserve">odprowadzania wód opadowych i roztopowych: </w:t>
      </w:r>
      <w:r>
        <w:rPr>
          <w:color w:val="000000"/>
          <w:u w:color="000000"/>
        </w:rPr>
        <w:t>ustala się zagospodarowanie wód opadowych i roztopowych na terenie inwestycji (np. poprzez rozsączanie w gruncie lub gromadzenie w zbiornikach retencyjnych) lub odprowadzanie do gruntu lub do cieków wodnych i rowów melioracyjnych na zasadach określonych w przepisach odrębnych;</w:t>
      </w:r>
    </w:p>
    <w:p w14:paraId="2FDF8E76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 xml:space="preserve">w zakresie </w:t>
      </w:r>
      <w:r>
        <w:rPr>
          <w:b/>
          <w:color w:val="000000"/>
          <w:u w:color="000000"/>
        </w:rPr>
        <w:t xml:space="preserve">zaopatrzenia w wodę: </w:t>
      </w:r>
      <w:r>
        <w:rPr>
          <w:color w:val="000000"/>
          <w:u w:color="000000"/>
        </w:rPr>
        <w:t>zaopatrzenie w wodę będzie realizowane w oparciu o sieć wodociągową z możliwością jej przebudowy i rozbudowy;</w:t>
      </w:r>
    </w:p>
    <w:p w14:paraId="2E6905E8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 zakresie zaopatrzenia w </w:t>
      </w:r>
      <w:r>
        <w:rPr>
          <w:b/>
          <w:color w:val="000000"/>
          <w:u w:color="000000"/>
        </w:rPr>
        <w:t>energię elektryczną:</w:t>
      </w:r>
    </w:p>
    <w:p w14:paraId="0E14623C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w oparciu o główny punkt zasilania 110/15kV za pośrednictwem istniejących i planowanych stacji transformatorowych SN/</w:t>
      </w:r>
      <w:proofErr w:type="spellStart"/>
      <w:r>
        <w:rPr>
          <w:color w:val="000000"/>
          <w:u w:color="000000"/>
        </w:rPr>
        <w:t>nn</w:t>
      </w:r>
      <w:proofErr w:type="spellEnd"/>
      <w:r>
        <w:rPr>
          <w:color w:val="000000"/>
          <w:u w:color="000000"/>
        </w:rPr>
        <w:t>;</w:t>
      </w:r>
    </w:p>
    <w:p w14:paraId="3F09602E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 xml:space="preserve">z istniejącej sieci niskiego (0,4 </w:t>
      </w:r>
      <w:proofErr w:type="spellStart"/>
      <w:r>
        <w:rPr>
          <w:color w:val="000000"/>
          <w:u w:color="000000"/>
        </w:rPr>
        <w:t>kV</w:t>
      </w:r>
      <w:proofErr w:type="spellEnd"/>
      <w:r>
        <w:rPr>
          <w:color w:val="000000"/>
          <w:u w:color="000000"/>
        </w:rPr>
        <w:t>) i średniego (15kV) napięcia poprzez ich utrzymanie, przebudowę i rozbudowę;</w:t>
      </w:r>
    </w:p>
    <w:p w14:paraId="65BB8A05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ustala się, że sieci elektroenergetyczne realizowane będą wyłącznie jako kablowe, doziemne;</w:t>
      </w:r>
    </w:p>
    <w:p w14:paraId="66AABC54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docelowo ustala się ujednolicenie systemu elektroenergetycznego, w granicach opracowania, w kierunku zasilania kablowego;</w:t>
      </w:r>
    </w:p>
    <w:p w14:paraId="3F07CC8A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 xml:space="preserve">w zakresie </w:t>
      </w:r>
      <w:r>
        <w:rPr>
          <w:b/>
          <w:color w:val="000000"/>
          <w:u w:color="000000"/>
        </w:rPr>
        <w:t>zaopatrzenia w gaz:</w:t>
      </w:r>
    </w:p>
    <w:p w14:paraId="293EA4CC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w oparciu o gazociągi średniego ciśnienia poprzez ich utrzymanie, przebudowę i rozbudowę,</w:t>
      </w:r>
    </w:p>
    <w:p w14:paraId="6344F7B4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do czasu realizacji gazociągu dopuszcza się zaopatrzenie w gaz z indywidualnych instalacji i zbiorników;</w:t>
      </w:r>
    </w:p>
    <w:p w14:paraId="67DFAD2C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w zakresie zaopatrzenia w </w:t>
      </w:r>
      <w:r>
        <w:rPr>
          <w:b/>
          <w:color w:val="000000"/>
          <w:u w:color="000000"/>
        </w:rPr>
        <w:t>energię cieplną:</w:t>
      </w:r>
    </w:p>
    <w:p w14:paraId="0B0369B3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zaopatrzenie w ciepło z indywidualnych źródeł ciepła;</w:t>
      </w:r>
    </w:p>
    <w:p w14:paraId="1CFA9D0B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dla terenów objętych siecią gazową jako podstawowe źródło ciepła należy stosować gaz lub urządzenia pozyskujące energię z odnawialnych źródeł energii;</w:t>
      </w:r>
    </w:p>
    <w:p w14:paraId="55677E7E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 xml:space="preserve">w zakresie </w:t>
      </w:r>
      <w:r>
        <w:rPr>
          <w:b/>
          <w:color w:val="000000"/>
          <w:u w:color="000000"/>
        </w:rPr>
        <w:t>telekomunikacji:</w:t>
      </w:r>
    </w:p>
    <w:p w14:paraId="7E6C9D42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w oparciu o istniejące sieci i urządzeń łączności publicznej poprzez ich utrzymanie, przebudowę i rozbudowę,</w:t>
      </w:r>
    </w:p>
    <w:p w14:paraId="27D9E5FD" w14:textId="77777777" w:rsidR="00C94CF2" w:rsidRDefault="0000000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dopuszcza się lokalizacje urządzeń łączności publicznej na obiektach budowlanych.</w:t>
      </w:r>
    </w:p>
    <w:p w14:paraId="6D58DBDF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Ustala się zaopatrzenie w wodę do celów przeciwpożarowych z istniejącej i planowanej sieci wodociągowej o średnicy nominalnej co najmniej DN 100 lub w oparciu o indywidualne instalacje i zbiorniki, realizowane na zasadach określonych w przepisach odrębnych.</w:t>
      </w:r>
    </w:p>
    <w:p w14:paraId="04F7E65D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Na całym obszarze planu dopuszcza się realizację przesyłowych gazociągów wysokiego ciśnienia pod warunkiem, że ich przebieg nie będzie naruszał szczegółowych ustaleń planu.</w:t>
      </w:r>
    </w:p>
    <w:p w14:paraId="354D2413" w14:textId="77777777" w:rsidR="00C94CF2" w:rsidRDefault="00000000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7.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Ustalenie wymagań wynikających z potrzeb kształtowania przestrzeni publicznych</w:t>
      </w:r>
    </w:p>
    <w:p w14:paraId="6B6DBFC5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26. </w:t>
      </w:r>
      <w:r>
        <w:t>1. </w:t>
      </w:r>
      <w:r>
        <w:rPr>
          <w:color w:val="000000"/>
          <w:u w:color="000000"/>
        </w:rPr>
        <w:t>Przestrzeń publiczną stanowią tereny dróg lokalnych (KDL).</w:t>
      </w:r>
    </w:p>
    <w:p w14:paraId="6C62E4B8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Dla przestrzeni publicznych określa się następujące zasady ich kształtowania:</w:t>
      </w:r>
    </w:p>
    <w:p w14:paraId="28ED664C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ustala się zakaz umieszczania tymczasowych obiektów usługowych;</w:t>
      </w:r>
    </w:p>
    <w:p w14:paraId="367A4A66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dopuszcza się umieszczanie urządzeń technicznych oraz zieleni.</w:t>
      </w:r>
    </w:p>
    <w:p w14:paraId="0C850E43" w14:textId="77777777" w:rsidR="00C94CF2" w:rsidRDefault="00000000">
      <w:pPr>
        <w:keepNext/>
        <w:jc w:val="center"/>
        <w:rPr>
          <w:color w:val="000000"/>
          <w:u w:color="000000"/>
        </w:rPr>
      </w:pPr>
      <w:r>
        <w:rPr>
          <w:b/>
        </w:rPr>
        <w:t>Rozdział 8.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Ustalenia dotyczące terenów przeznaczonych dla realizacji inwestycji celu publicznego</w:t>
      </w:r>
    </w:p>
    <w:p w14:paraId="6780E6B2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27. </w:t>
      </w:r>
      <w:r>
        <w:rPr>
          <w:color w:val="000000"/>
          <w:u w:color="000000"/>
        </w:rPr>
        <w:t>W obszarze planu ustalono granice terenów dla realizacji inwestycji celu publicznego o znaczeniu lokalnym: tereny dróg lokalnych (KDL).</w:t>
      </w:r>
    </w:p>
    <w:p w14:paraId="571F2A02" w14:textId="77777777" w:rsidR="00C94CF2" w:rsidRDefault="00000000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9.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Sposób i termin tymczasowego zagospodarowania, urządzania i użytkowania terenów</w:t>
      </w:r>
    </w:p>
    <w:p w14:paraId="619B656B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28. </w:t>
      </w:r>
      <w:r>
        <w:rPr>
          <w:color w:val="000000"/>
          <w:u w:color="000000"/>
        </w:rPr>
        <w:t>Plan nie ustala sposobu i terminu tymczasowego zagospodarowania, urządzania i użytkowania terenów. Tereny, których przeznaczenie plan zmienia, mogą być wykorzystywane w sposób dotychczasowy do czasu ich zagospodarowania zgodnie z planem.</w:t>
      </w:r>
    </w:p>
    <w:p w14:paraId="218E99C8" w14:textId="77777777" w:rsidR="00C94CF2" w:rsidRDefault="00000000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10.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Szczegółowe zasady i warunki scalania i podziału nieruchomości objętych planem</w:t>
      </w:r>
    </w:p>
    <w:p w14:paraId="76AE5450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29. </w:t>
      </w:r>
      <w:r>
        <w:rPr>
          <w:color w:val="000000"/>
          <w:u w:color="000000"/>
        </w:rPr>
        <w:t>Dla terenów o przeznaczeniu innym niż rolne i leśne, w przypadku podjęcia z inicjatywy właścicieli i użytkowników wieczystych nieruchomości przeprowadzenia scaleń i podziału nieruchomości, ustala się następujące parametry działek uzyskiwane w ich wyniku:</w:t>
      </w:r>
    </w:p>
    <w:p w14:paraId="18E565EB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minimalna powierzchnia działki: 3000 m</w:t>
      </w:r>
      <w:r>
        <w:rPr>
          <w:color w:val="000000"/>
          <w:u w:color="000000"/>
          <w:vertAlign w:val="superscript"/>
        </w:rPr>
        <w:t>2</w:t>
      </w:r>
      <w:r>
        <w:rPr>
          <w:color w:val="000000"/>
          <w:u w:color="000000"/>
        </w:rPr>
        <w:t>;</w:t>
      </w:r>
    </w:p>
    <w:p w14:paraId="3383AEBB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minimalna szerokość frontu działki: 25 m;</w:t>
      </w:r>
    </w:p>
    <w:p w14:paraId="5DD304EA" w14:textId="77777777" w:rsidR="00C94CF2" w:rsidRDefault="0000000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kąt położenia granicy działki w stosunku do linii rozgraniczających dróg publicznych: z przedziału 60</w:t>
      </w:r>
      <w:r>
        <w:rPr>
          <w:color w:val="000000"/>
          <w:u w:color="000000"/>
          <w:vertAlign w:val="superscript"/>
        </w:rPr>
        <w:t xml:space="preserve">o </w:t>
      </w:r>
      <w:r>
        <w:rPr>
          <w:color w:val="000000"/>
          <w:u w:color="000000"/>
        </w:rPr>
        <w:t>– 120</w:t>
      </w:r>
      <w:r>
        <w:rPr>
          <w:color w:val="000000"/>
          <w:u w:color="000000"/>
          <w:vertAlign w:val="superscript"/>
        </w:rPr>
        <w:t>o</w:t>
      </w:r>
      <w:r>
        <w:rPr>
          <w:color w:val="000000"/>
          <w:u w:color="000000"/>
        </w:rPr>
        <w:t>.</w:t>
      </w:r>
    </w:p>
    <w:p w14:paraId="03705BB4" w14:textId="77777777" w:rsidR="00C94CF2" w:rsidRDefault="00000000">
      <w:pPr>
        <w:keepNext/>
        <w:jc w:val="center"/>
        <w:rPr>
          <w:color w:val="000000"/>
          <w:u w:color="000000"/>
        </w:rPr>
      </w:pPr>
      <w:r>
        <w:rPr>
          <w:b/>
        </w:rPr>
        <w:t>Rozdział 11.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Stawki procentowe</w:t>
      </w:r>
    </w:p>
    <w:p w14:paraId="087AC1F0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30. </w:t>
      </w:r>
      <w:r>
        <w:rPr>
          <w:color w:val="000000"/>
          <w:u w:color="000000"/>
        </w:rPr>
        <w:t>Ustala się stawkę procentową, służącą naliczaniu opłaty z tytułu wzrostu wartości nieruchomości w związku z uchwaleniem planu, w wysokości 30%.</w:t>
      </w:r>
    </w:p>
    <w:p w14:paraId="686EDAD8" w14:textId="77777777" w:rsidR="00C94CF2" w:rsidRDefault="00000000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12.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Przepisy końcowe</w:t>
      </w:r>
    </w:p>
    <w:p w14:paraId="7FCE7552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31. </w:t>
      </w:r>
      <w:r>
        <w:rPr>
          <w:color w:val="000000"/>
          <w:u w:color="000000"/>
        </w:rPr>
        <w:t>Wykonanie uchwały powierza się Burmistrzowi Gminy Alwernia.</w:t>
      </w:r>
    </w:p>
    <w:p w14:paraId="3C4B1B61" w14:textId="77777777" w:rsidR="00C94CF2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32. </w:t>
      </w:r>
      <w:r>
        <w:rPr>
          <w:color w:val="000000"/>
          <w:u w:color="000000"/>
        </w:rPr>
        <w:t>Uchwała wchodzi w życie po upływie 14 dni od dnia jej ogłoszenia w Dzienniku Urzędowym Województwa Małopolskiego.</w:t>
      </w:r>
    </w:p>
    <w:p w14:paraId="2E77B75D" w14:textId="77777777" w:rsidR="00997A82" w:rsidRDefault="00997A82">
      <w:pPr>
        <w:keepLines/>
        <w:spacing w:before="120" w:after="120"/>
        <w:ind w:firstLine="340"/>
        <w:rPr>
          <w:color w:val="000000"/>
          <w:u w:color="000000"/>
        </w:rPr>
        <w:sectPr w:rsidR="00997A82">
          <w:footerReference w:type="default" r:id="rId6"/>
          <w:endnotePr>
            <w:numFmt w:val="decimal"/>
          </w:endnotePr>
          <w:pgSz w:w="11906" w:h="16838"/>
          <w:pgMar w:top="992" w:right="1020" w:bottom="992" w:left="1020" w:header="708" w:footer="708" w:gutter="0"/>
          <w:cols w:space="708"/>
          <w:docGrid w:linePitch="360"/>
        </w:sectPr>
      </w:pPr>
    </w:p>
    <w:p w14:paraId="41C225E7" w14:textId="77777777" w:rsidR="00C94CF2" w:rsidRDefault="00C94CF2">
      <w:pPr>
        <w:rPr>
          <w:szCs w:val="20"/>
        </w:rPr>
      </w:pPr>
    </w:p>
    <w:p w14:paraId="5034F4D2" w14:textId="77777777" w:rsidR="00C94CF2" w:rsidRDefault="00000000">
      <w:pPr>
        <w:jc w:val="center"/>
        <w:rPr>
          <w:szCs w:val="20"/>
        </w:rPr>
      </w:pPr>
      <w:r>
        <w:rPr>
          <w:b/>
          <w:szCs w:val="20"/>
        </w:rPr>
        <w:t>Uzasadnienie</w:t>
      </w:r>
    </w:p>
    <w:p w14:paraId="1AA0F754" w14:textId="77777777" w:rsidR="00C94CF2" w:rsidRDefault="00000000">
      <w:pPr>
        <w:spacing w:before="120" w:after="120"/>
        <w:ind w:left="283" w:firstLine="227"/>
        <w:rPr>
          <w:szCs w:val="20"/>
        </w:rPr>
      </w:pPr>
      <w:r>
        <w:rPr>
          <w:szCs w:val="20"/>
        </w:rPr>
        <w:t>Rada Miejska w Alwerni uchwałą Nr VIII/58/2023 z dnia 29 czerwca 2023 r. w sprawie przystąpienia do sporządzenia miejscowego planu zagospodarowania przestrzennego obszaru „GROJEC PÓŁNOC”.</w:t>
      </w:r>
    </w:p>
    <w:p w14:paraId="2C3D1F98" w14:textId="77777777" w:rsidR="00C94CF2" w:rsidRDefault="00000000">
      <w:pPr>
        <w:spacing w:before="120" w:after="120"/>
        <w:ind w:left="283" w:firstLine="227"/>
        <w:rPr>
          <w:szCs w:val="20"/>
        </w:rPr>
      </w:pPr>
      <w:r>
        <w:rPr>
          <w:szCs w:val="20"/>
        </w:rPr>
        <w:t xml:space="preserve">Obszar objęty planem, o powierzchni 91,94 ha znajduje się po południowej stronie autostrady A4, pomiędzy ul. </w:t>
      </w:r>
      <w:proofErr w:type="spellStart"/>
      <w:r>
        <w:rPr>
          <w:szCs w:val="20"/>
        </w:rPr>
        <w:t>Grojecką</w:t>
      </w:r>
      <w:proofErr w:type="spellEnd"/>
      <w:r>
        <w:rPr>
          <w:szCs w:val="20"/>
        </w:rPr>
        <w:t>, ul. Pańską, ul. Pasternik i granicą administracyjną gminy, na północ od zwartej zabudowy miejscowości.</w:t>
      </w:r>
    </w:p>
    <w:p w14:paraId="3FF1C809" w14:textId="77777777" w:rsidR="00C94CF2" w:rsidRDefault="00000000">
      <w:pPr>
        <w:spacing w:before="120" w:after="120"/>
        <w:ind w:left="283" w:firstLine="227"/>
        <w:rPr>
          <w:szCs w:val="20"/>
        </w:rPr>
      </w:pPr>
      <w:r>
        <w:rPr>
          <w:szCs w:val="20"/>
        </w:rPr>
        <w:t>Procedura sporządzania planu miejscowego prowadzona była zgodnie z wymogami ustawy o planowaniu i zagospodarowaniu przestrzennym, tj. podano do publicznej wiadomości, poprzez ogłoszenie w prasie lokalnej oraz poprzez obwieszczenie, informację o możliwości składania wniosków do planu, a także zawiadomiono o przystąpieniu do sporządzania planu właściwe instytucje i organy. Następnie rozpatrzono wnioski oraz sporządzono projekt planu miejscowego przy uwzględnieniu zapisów studium uwarunkowań i kierunków zagospodarowania przestrzennego gminy Alwernia. Do projektu planu zostały opracowane prognozy: oddziaływania na środowisko oraz skutków finansowych jego uchwalenia.</w:t>
      </w:r>
    </w:p>
    <w:p w14:paraId="3993D57D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szCs w:val="20"/>
        </w:rPr>
        <w:t xml:space="preserve">Stosownie do art. 15 ust. 1 ustawy </w:t>
      </w:r>
      <w:r>
        <w:rPr>
          <w:i/>
          <w:color w:val="000000"/>
          <w:szCs w:val="20"/>
          <w:u w:color="000000"/>
        </w:rPr>
        <w:t xml:space="preserve">o planowaniu i zagospodarowaniu przestrzennym </w:t>
      </w:r>
      <w:r>
        <w:rPr>
          <w:color w:val="000000"/>
          <w:szCs w:val="20"/>
          <w:u w:color="000000"/>
        </w:rPr>
        <w:t>przedstawiono poniżej sposób realizacji wymogów wynikających z art. 1 ust. 2–4 ustawy, zgodność z wynikami analizy zmian w zagospodarowaniu przestrzennym gminy wraz z datą uchwały rady gminy w sprawie aktualności studium i planów miejscowych oraz wpływ planu miejscowego na finanse publiczne, w tym budżet gminy.</w:t>
      </w:r>
    </w:p>
    <w:p w14:paraId="7771FC8A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Sposób realizacji wymogów wynikających z art. 1 ust. 2–4 ustawy:</w:t>
      </w:r>
    </w:p>
    <w:p w14:paraId="6AF23C0E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val="single" w:color="000000"/>
        </w:rPr>
        <w:t>1) wymagania ładu przestrzennego, w tym urbanistyki i architektury:</w:t>
      </w:r>
    </w:p>
    <w:p w14:paraId="69F6E416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Realizacja ładu przestrzennego, rozumianego jako ukształtowanie przestrzeni, które tworzy harmonijną całość oraz uwzględnia w uporządkowanych relacjach wszelkie uwarunkowania i wymagania (funkcjonalne, społeczno-gospodarcze, środowiskowe, kulturowe oraz kompozycyjno-estetyczne), odbywa się w planie miejscowym przede wszystkim poprzez przeznaczanie terenów dla różnych funkcji oraz odpowiednie dobranie parametrów i wskaźników kształtowania zabudowy oraz zagospodarowania terenu, tj. maksymalną i minimalną intensywność zabudowy, minimalny udział procentowy powierzchni biologicznie czynnej, maksymalną wysokość zabudowy oraz linie zabudowy i gabaryty obiektów. Właściwe kształtowanie parametrów i wskaźników zabudowy jest podstawowym narzędziem tworzenia urbanistycznego i architektonicznego ładu przestrzennego. Istotnym narzędziem kształtowania i ochrony ładu przestrzennego jest możliwość wprowadzania zakazu zabudowy.</w:t>
      </w:r>
    </w:p>
    <w:p w14:paraId="3F991BB3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Głównym celem przedmiotowego planu miejscowego jest stabilizowanie zasad zagospodarowania przestrzennego w całym obszarze poprzez kompleksowe rozwiązania obejmujące kompozycję funkcjonalno-przestrzenną uwzględniającą: uporządkowanie istniejącej zabudowy, relacje z terenami otaczającymi, prawidłową obsługę komunikacyjną i powiązania z układem komunikacyjnym gminy oraz systemowe rozwiązania w zakresie infrastruktury technicznej. Oczekiwanym efektem sporządzenia planu miejscowego będzie wprowadzenie kompleksowych rozwiązań w zakresie urbanistyki i architektury, które zapewnią ochronę ładu przestrzennego z uwzględnieniem zasady zrównoważonego rozwoju.</w:t>
      </w:r>
    </w:p>
    <w:p w14:paraId="6FC87798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Plan miejscowy ustala zasady kształtowania zabudowy oraz wskaźniki zagospodarowania terenów w sposób mający na celu kontynuacje zastanych wartościowych cech istniejącej zabudowy co do funkcji, gabarytów i formy architektonicznej obiektów budowlanych oraz kreuje nową jakość w zabudowie poprzez zdefiniowanie terenów o usługowym i produkcyjnym charakterze wraz z nowymi rozwiązaniami komunikacyjnymi.</w:t>
      </w:r>
    </w:p>
    <w:p w14:paraId="78A0ECB0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Dopuszczono także rozbudowę, przebudowę, nadbudowę, odbudowę oraz zmianę sposobu użytkowania istniejących budynków zgodnie z przeznaczeniem terenów pod warunkiem, że łącznie dla obiektów istniejących i nowych, zostaną zachowane wskaźniki i parametry kształtowania zabudowy określone dla tego terenu. W obszarze planu ustalono nieprzekraczalne linie zabudowy.</w:t>
      </w:r>
    </w:p>
    <w:p w14:paraId="50A5207C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Zgodnie natomiast z art. 1 ust. 4 ustawy w przypadku sytuowania nowej zabudowy uwzględnienie wymagań ładu przestrzennego, efektywnego gospodarowania przestrzenią oraz walorów ekonomicznych przestrzeni następuje poprzez:</w:t>
      </w:r>
    </w:p>
    <w:p w14:paraId="69DC1B52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1) kształtowanie struktur przestrzennych przy uwzględnieniu dążenia do minimalizowania transportochłonności układu przestrzennego;</w:t>
      </w:r>
    </w:p>
    <w:p w14:paraId="3C1116AB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2) lokalizowanie nowej zabudowy mieszkaniowej w sposób umożliwiający mieszkańcom maksymalne wykorzystanie publicznego transportu zbiorowego jako podstawowego środka transportu;</w:t>
      </w:r>
    </w:p>
    <w:p w14:paraId="769F7DF4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3) zapewnianie rozwiązań przestrzennych, ułatwiających przemieszczanie się pieszych i rowerzystów;</w:t>
      </w:r>
    </w:p>
    <w:p w14:paraId="5FAFDFB1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4) dążenie do planowania i lokalizowania nowej zabudowy:</w:t>
      </w:r>
    </w:p>
    <w:p w14:paraId="7925726C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a) na obszarach o w pełni wykształconej zwartej strukturze funkcjonalno-przestrzennej, w granicach jednostki osadniczej (rozumianej jako wyodrębniony przestrzennie obszar zabudowy mieszkaniowej wraz z obiektami infrastruktury technicznej zamieszkany przez ludzi), w szczególności poprzez uzupełnianie istniejącej zabudowy,</w:t>
      </w:r>
    </w:p>
    <w:p w14:paraId="2CA3935E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b) na terenach położonych na obszarach innych niż wymienione w lit. a, wyłącznie w sytuacji braku dostatecznej ilości terenów przeznaczonych pod dany rodzaj zabudowy położonych na obszarach, o których mowa w lit. a; przy czym w pierwszej kolejności na obszarach w najwyższym stopniu przygotowanych do zabudowy, przez co rozumie się obszary charakteryzujące się najlepszym dostępem do sieci komunikacyjnej oraz najlepszym stopniem wyposażenia w sieci wodociągowe, kanalizacyjne, elektroenergetyczne, gazowe, ciepłownicze oraz sieci i urządzenia telekomunikacyjne, adekwatnych dla nowej, planowanej zabudowy.</w:t>
      </w:r>
    </w:p>
    <w:p w14:paraId="1A5959FD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Zdecydowana większość terenów przeznaczonych pod zabudowę jakie plan wyznacza są obsługiwane  komunikacyjnie przez drogi gminne, które zapewniają odpowiednie powiązanie obszaru z zewnętrznym układem komunikacyjnym poprzez drogę krajową nr 73 i drogą wojewódzką nr 984. Minimalizowanie transportochłonności układu przestrzennego (zasada niskoemisyjności) jest realizowane w planie poprzez ustalenie odpowiednio wysokich wskaźników zabudowy i politykę parkingową co do wymaganych do spełnienia wskaźników wymaganej ilości miejsc postojowych.</w:t>
      </w:r>
    </w:p>
    <w:p w14:paraId="70DDF468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Tereny przeznaczone pod zabudowę w granicach planu miejscowego zostały wyznaczone przede wszystkim zgodnie z polityką przestrzenną gminy określoną w studium uwarunkowań i kierunków zagospodarowania przestrzennego. W studium struktura osadnicza została ukształtowana w oparciu o wykształcony rdzeń sołectwa oraz istniejące drogi co ma swoje odzwierciedlenie w ustaleniach planu miejscowego.</w:t>
      </w:r>
    </w:p>
    <w:p w14:paraId="0DF62E26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val="single" w:color="000000"/>
        </w:rPr>
        <w:t>2) walory architektoniczne i krajobrazowe:</w:t>
      </w:r>
    </w:p>
    <w:p w14:paraId="38551EBA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Z wyróżniających się, negatywnych elementów krajobrazowych należy wskazać napowietrzną linię średniego napięcia 15 </w:t>
      </w:r>
      <w:proofErr w:type="spellStart"/>
      <w:r>
        <w:rPr>
          <w:color w:val="000000"/>
          <w:szCs w:val="20"/>
          <w:u w:color="000000"/>
        </w:rPr>
        <w:t>kV</w:t>
      </w:r>
      <w:proofErr w:type="spellEnd"/>
      <w:r>
        <w:rPr>
          <w:color w:val="000000"/>
          <w:szCs w:val="20"/>
          <w:u w:color="000000"/>
        </w:rPr>
        <w:t xml:space="preserve"> przecinającą północno-zachodnią część terenu w relacji północ-południe. W tym rejonie zlokalizowany jest również gazociąg wysokoprężny. Wzdłuż wschodniej granicy obszaru, który pokrywa się z granicą administracyjną gminy przepływa potok Rudno. Konfiguracja terenu jest urozmaicona. Całość opada w kierunku wschodnim i północno-wschodnim. Obszar jest pokryty gruntami rolnymi – w znacznej mierze zaniechanymi i odłogowanymi – oraz łąkami, w pasmach otaczających dna wąwozów zachowała się roślinność naturalna. Na terenie znajdują się pojedyncze budynki mieszkaniowe i usługowe.</w:t>
      </w:r>
    </w:p>
    <w:p w14:paraId="3488A4E1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val="single" w:color="000000"/>
        </w:rPr>
        <w:t>3) wymagania ochrony środowiska, w tym gospodarowania wodami i ochrony gruntów rolnych i leśnych:</w:t>
      </w:r>
    </w:p>
    <w:p w14:paraId="792A275F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Plan miejscowy dopuszcza stosowanie urządzeń do pozyskiwania energii ze źródeł odnawialnych jak np. kolektory słoneczne, pompy ciepła i urządzenia fotowoltaiczne o mocy przekraczającej 500 kW, z wyłączeniem urządzeń wykorzystujących energię wiatru.</w:t>
      </w:r>
    </w:p>
    <w:p w14:paraId="61356D55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W planie ustalono kwalifikację poszczególnych rodzajów przeznaczenia terenów pod kątem ochrony przed hałasem.</w:t>
      </w:r>
    </w:p>
    <w:p w14:paraId="59B03F9A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Plan miejscowy zapewnia prawidłowe gospodarowanie wodami poprzez ustalenie odpowiednich wymogów w zakresie odprowadzania ścieków jak i wód opadowych i roztopowych. W zakresie odprowadzania ścieków ustalono odprowadzanie ścieków do kanalizacji sanitarnej w systemie rozdzielczym. Plan miejscowy ustala odprowadzanie wód opadowych i roztopowych do kanalizacji z dopuszczeniem zagospodarowania wód opadowych i roztopowych na terenie inwestycji (np. poprzez rozsączanie w gruncie lub gromadzenie w zbiornikach retencyjnych) oraz odprowadzanie do gruntu.</w:t>
      </w:r>
    </w:p>
    <w:p w14:paraId="5984DC19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W obszarze objętym planem występują grunty klas chronionych (III), nie występują grunty leśne, dla których była wymagana zgoda na zmianę przeznaczenia.</w:t>
      </w:r>
    </w:p>
    <w:p w14:paraId="58FC8D29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val="single" w:color="000000"/>
        </w:rPr>
        <w:t>4) wymagania ochrony dziedzictwa kulturowego i zabytków oraz dóbr kultury współczesnej:</w:t>
      </w:r>
    </w:p>
    <w:p w14:paraId="6BC0552E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W granicach obszaru objętego planem znajdują się zasoby dziedzictwa kulturowego i zabytków trzech stanowisk archeologicznych.</w:t>
      </w:r>
    </w:p>
    <w:p w14:paraId="4C90A625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val="single" w:color="000000"/>
        </w:rPr>
        <w:t>5) wymagania ochrony zdrowia oraz bezpieczeństwa ludzi i mienia, a także potrzeby osób niepełnosprawnych:</w:t>
      </w:r>
    </w:p>
    <w:p w14:paraId="6442AA96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W pierwszej kolejności należy wskazać, iż obszar planu miejscowego nie jest położony w obszarze ochrony uzdrowiskowej, ani też w gminie o statusie uzdrowiska. Plan miejscowy zapewnia ochronę zdrowia oraz bezpieczeństwa ludzi i mienia poprzez: ustalanie przeznaczenia terenów w taki sposób aby wykluczyć funkcje kolidujące ze sobą (np. łączenie terenów mieszkaniowych z produkcyjnymi), umożliwienie stosowania urządzeń do pozyskiwania energii ze źródeł odnawialnych, zapewnienie ochrony przed hałasem oraz uporządkowanie gospodarki wodno-ściekowej. Ponadto w planie miejscowym zdefiniowano podstawowy układ komunikacyjny, który ma służyć do zapewnienia prawidłowej (a więc przede wszystkim bezpiecznej) obsługi komunikacyjnej obszaru jak i powiązania go z układem komunikacyjnym gminy.</w:t>
      </w:r>
    </w:p>
    <w:p w14:paraId="6C9731D4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val="single" w:color="000000"/>
        </w:rPr>
        <w:t>6) walory ekonomiczne przestrzeni:</w:t>
      </w:r>
    </w:p>
    <w:p w14:paraId="7F5F7D16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Walorami ekonomicznymi przestrzeni są te cechy przestrzeni, które można określić w kategoriach ekonomicznych. W planie miejscowym uwzględniono walory ekonomiczne obszaru poprzez rozwój szerokiego spektrum funkcji (m.in. mieszkaniowej i usługowej) co wpisuje się w ogólny kierunek rozwoju miejscowości, a tym samym przyczynia się do podniesienia wartości nieruchomości objętych planem.</w:t>
      </w:r>
    </w:p>
    <w:p w14:paraId="0D4EA490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val="single" w:color="000000"/>
        </w:rPr>
        <w:t>7) prawo własności:</w:t>
      </w:r>
    </w:p>
    <w:p w14:paraId="1D0BEDA0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Zgodnie z art. 6 ust. 1 ustawy ustalenia miejscowego planu zagospodarowania przestrzennego kształtują, wraz z innymi przepisami, sposób wykonywania prawa własności nieruchomości.</w:t>
      </w:r>
    </w:p>
    <w:p w14:paraId="6DA7C746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Plan miejscowy w sposób racjonalny i nie nadmiernie obciążający kształtuje prawo wykonywania własności, tj. ustala ograniczania w jego wykonywaniu tam gdzie jest to niezbędne do zapewnienia ładu przestrzennego, prawidłowego funkcjonowania obszaru pod względem komunikacyjnym lub wynika to z regulacji przepisów odrębnych. Należy mieć na uwadze, iż determinujące znaczenie dla określania przeznaczenia terenów ma przede wszystkim polityka przestrzenna gminy określona w studium uwarunkowań i kierunków zagospodarowania przestrzennego - plan miejscowy nie może naruszać studium.</w:t>
      </w:r>
    </w:p>
    <w:p w14:paraId="5894B274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val="single" w:color="000000"/>
        </w:rPr>
        <w:t>8) potrzeby obronności i bezpieczeństwa państwa:</w:t>
      </w:r>
    </w:p>
    <w:p w14:paraId="5B8EE6E1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 xml:space="preserve">Zgodnie z § 2 ust. 1 rozporządzenia Ministra Infrastruktury z dnia 7 maja 2004 r. </w:t>
      </w:r>
      <w:r>
        <w:rPr>
          <w:i/>
          <w:color w:val="000000"/>
          <w:szCs w:val="20"/>
          <w:u w:color="000000"/>
        </w:rPr>
        <w:t xml:space="preserve">w sprawie sposobu uwzględniania w zagospodarowaniu przestrzennym potrzeb obronności i bezpieczeństwa państwa </w:t>
      </w:r>
      <w:r>
        <w:rPr>
          <w:color w:val="000000"/>
          <w:szCs w:val="20"/>
          <w:u w:color="000000"/>
        </w:rPr>
        <w:t>właściwe organy wojskowe, ochrony granic i bezpieczeństwa państwa zgłaszają potrzeby w zakresie obronności i bezpieczeństwa państwa w zagospodarowaniu przestrzennym przez uzgadnianie projektu miejscowego planu zagospodarowania przestrzennego w zakresie dostosowania ustaleń tych projektów do wymagań wynikających z potrzeb obronności i bezpieczeństwa państwa.</w:t>
      </w:r>
    </w:p>
    <w:p w14:paraId="143C1E4E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Wedle § 2 ust. 3 ww. rozporządzenia organy, o których mowa powyżej uzgadniają projekt miejscowego planu zagospodarowania przestrzennego w szczególności w zakresie:</w:t>
      </w:r>
    </w:p>
    <w:p w14:paraId="616364A2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granic terenów zamkniętych i ich stref ochronnych;</w:t>
      </w:r>
    </w:p>
    <w:p w14:paraId="3D1893F0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 ograniczeń, które powinny obowiązywać w strefach ochronnych, w tym dotyczących użytkowania i przeznaczenia terenów, zabudowy oraz przebywania ludzi;</w:t>
      </w:r>
    </w:p>
    <w:p w14:paraId="72F0260A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ograniczeń w zagospodarowaniu terenów, wynikających z potrzeb bezkolizyjnego funkcjonowania istniejącej i planowanej infrastruktury niezbędnej na potrzeby obronności i bezpieczeństwa państwa;</w:t>
      </w:r>
    </w:p>
    <w:p w14:paraId="01F05542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ograniczeń wynikających z utworzenia obszarów ograniczonego użytkowania, w tym dla lotnisk, instalacji radiokomunikacyjnych, radionawigacyjnych i radiolokacyjnych;</w:t>
      </w:r>
    </w:p>
    <w:p w14:paraId="7C036FC2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wymagań dotyczących parametrów i wskaźników kształtowania zabudowy oraz zagospodarowania terenu wynikających z potrzeb obronności i bezpieczeństwa państwa;</w:t>
      </w:r>
    </w:p>
    <w:p w14:paraId="2AE35AD1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wymagań w zakresie obronności i bezpieczeństwa państwa dotyczących modernizacji, rozbudowy i budowy układu komunikacyjnego i sieci infrastruktury technicznej;</w:t>
      </w:r>
    </w:p>
    <w:p w14:paraId="6F1FDFB6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zagrożeń bezpieczeństwa powszechnego, w tym pożarowych wynikających z planowanych warunków zagospodarowania przestrzennego, a w szczególności z lokalizacji zakładów przemysłowych, w których istnieje ryzyko wystąpienia poważnej awarii przemysłowej;</w:t>
      </w:r>
    </w:p>
    <w:p w14:paraId="34D63683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możliwości prowadzenia działań ratowniczych, w tym w zakresie prowadzenia ewakuacji na wypadek masowego zagrożenia, zaopatrzenia w wodę do celów przeciwpożarowych oraz dróg pożarowych;</w:t>
      </w:r>
    </w:p>
    <w:p w14:paraId="18F620ED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budowy obiektów na potrzeby jednostek zajmujących się ochroną ludności, w tym jednostek ochrony przeciwpożarowej;</w:t>
      </w:r>
    </w:p>
    <w:p w14:paraId="3559D5B3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wznoszenia budowli ochronnych;</w:t>
      </w:r>
    </w:p>
    <w:p w14:paraId="5268174E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budowy infrastruktury technicznej służącej, w sytuacjach kryzysowych: realizacji zadań w zakresie wykrywania zagrożeń oraz ostrzegania i alarmowania; ochronie przeciwpożarowej; zapewnieniu bezpiecznego transportu materiałów niebezpiecznych, w tym transportu rurociągami; zaopatrywaniu ludności w wodę pitną; zapewnieniu bezpieczeństwa sieci elektroenergetycznych oraz telekomunikacyjnych.</w:t>
      </w:r>
    </w:p>
    <w:p w14:paraId="7E52FF06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Natomiast zgodnie z § 4 ww. rozporządzenia potrzeby obronności i bezpieczeństwa państwa w miejscowym planie zagospodarowania przestrzennego uwzględnia się, określając w szczególności:</w:t>
      </w:r>
    </w:p>
    <w:p w14:paraId="510E7467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przeznaczenie terenów oraz linie rozgraniczające tereny o różnym przeznaczeniu lub różnych zasadach zagospodarowania, a zwłaszcza nieruchomości uznane za niezbędne na cele obronności i bezpieczeństwa państwa oraz obiekty ważne i szczególnie ważne dla bezpieczeństwa i obronności państwa, określone odrębnymi przepisami;</w:t>
      </w:r>
    </w:p>
    <w:p w14:paraId="32946A90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wymagania wynikające z potrzeb kształtowania przestrzeni publicznych;</w:t>
      </w:r>
    </w:p>
    <w:p w14:paraId="02C8D34F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parametry i wskaźniki kształtowania zabudowy oraz zagospodarowania terenu, w tym linie zabudowy, gabaryty obiektów i wskaźniki intensywności zabudowy;</w:t>
      </w:r>
    </w:p>
    <w:p w14:paraId="6D5F2BA1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granice i sposoby zagospodarowania terenów lub obiektów podlegających ochronie, ustalonych na podstawie odrębnych przepisów, w tym terenów górniczych, a także narażonych na niebezpieczeństwo powodzi oraz zagrożonych osuwaniem się mas ziemnych;</w:t>
      </w:r>
    </w:p>
    <w:p w14:paraId="7719A697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szczególne warunki zagospodarowania terenów oraz ograniczenia w ich użytkowaniu, w tym zakazu budowy;</w:t>
      </w:r>
    </w:p>
    <w:p w14:paraId="2E18DD60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zasady modernizacji, rozbudowy i budowy systemów komunikacji i infrastruktury technicznej;</w:t>
      </w:r>
    </w:p>
    <w:p w14:paraId="0AF182B8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- sposoby i terminy tymczasowego zagospodarowania, urządzania i użytkowania terenów.</w:t>
      </w:r>
    </w:p>
    <w:p w14:paraId="6E309453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Przenosząc powyższe wymogi na grunt przedmiotowego planu miejscowego należy wskazać, iż w procedurze sporządzania planu miejscowego zawiadomiono właściwe organy wojskowe, ochrony granic i bezpieczeństwa państwa o przystąpienie do sporządzania planu, a także wskazano na możliwość składania wniosków, przy czym w granicach obszaru objętego planem nie znajdują się tereny zamknięte.</w:t>
      </w:r>
    </w:p>
    <w:p w14:paraId="58B718EE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val="single" w:color="000000"/>
        </w:rPr>
        <w:t>9) potrzeby interesu publicznego:</w:t>
      </w:r>
    </w:p>
    <w:p w14:paraId="03444825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Plan miejscowy ustala wymagania wynikające z potrzeb kształtowania przestrzeni publicznych jak i wprowadza ustalenia dotyczące terenów przeznaczonych dla realizacji inwestycji celu publicznego (głównie tereny dróg publicznych, parkingów oraz zieleni urządzonej). Ponadto w planie miejscowym zostały ustalone wskaźniki zagospodarowania terenów oraz zasady kształtowania zabudowy i krajobrazu, które mają na celu niedopuszczenie do degradacji przestrzeni, a tym samym powinny realizować uogólniony cel dążeń i działań, uwzględniających zobiektywizowane potrzeby ogółu społeczeństwa lub lokalnych społeczności, związanych z zagospodarowaniem przestrzennym.</w:t>
      </w:r>
    </w:p>
    <w:p w14:paraId="6D905335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val="single" w:color="000000"/>
        </w:rPr>
        <w:t>10) potrzeby w zakresie rozwoju infrastruktury technicznej, w szczególności sieci szerokopasmowych:</w:t>
      </w:r>
    </w:p>
    <w:p w14:paraId="54D5190F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Plan miejscowy wprowadza systemowe rozwiązania w zakresie infrastruktury technicznej poprzez ustalenie zasad jej modernizacji, rozbudowy i budowy.</w:t>
      </w:r>
    </w:p>
    <w:p w14:paraId="0E2F2826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val="single" w:color="000000"/>
        </w:rPr>
        <w:t>11) zapewnienie udziału społeczeństwa w pracach nad miejscowym planem zagospodarowania przestrzennego, w tym przy użyciu środków komunikacji elektronicznej:</w:t>
      </w:r>
    </w:p>
    <w:p w14:paraId="4223E929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Udział społeczeństwa w pracach nad planem miejscowym został zapewniony przede wszystkim za pomocą dyskusji publicznej nad przyjętymi w planie rozwiązaniami, a także dzięki możliwości składania uwag do projektu planu miejscowego (również w formie elektronicznej). Wcześniej, na początkowym etapie prac nad planem opublikowane zostały odpowiednie ogłoszenia i obwieszczenia o przystąpieniu do prac nad planem gdzie poinformowane społeczeństwo o możliwości składnia wniosków do projektu planu. Wszystkie komunikaty były publikowane równie na stronie internetowej gminy jak i w Biuletynie Informacji Publicznej.</w:t>
      </w:r>
    </w:p>
    <w:p w14:paraId="76B49BF0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val="single" w:color="000000"/>
        </w:rPr>
        <w:t>12) zachowanie jawności i przejrzystości procedur planistycznych:</w:t>
      </w:r>
    </w:p>
    <w:p w14:paraId="09CF426C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 xml:space="preserve">Wszelkie ogłoszenia, obwieszczenia i komunikaty związane z procedurą sporządzania planu miejscowego były publikowane w prasie lokalnej, na tablicach ogłoszeń oraz Biuletynie Informacji Publicznej. Ponadto każdy zainteresowany miał możliwość zapoznania się z dokumentacją planistyczną zgodnie z ustawą </w:t>
      </w:r>
      <w:r>
        <w:rPr>
          <w:i/>
          <w:color w:val="000000"/>
          <w:szCs w:val="20"/>
          <w:u w:color="000000"/>
        </w:rPr>
        <w:t>o dostępie do informacji publicznej</w:t>
      </w:r>
      <w:r>
        <w:rPr>
          <w:color w:val="000000"/>
          <w:szCs w:val="20"/>
          <w:u w:color="000000"/>
        </w:rPr>
        <w:t>.</w:t>
      </w:r>
    </w:p>
    <w:p w14:paraId="6F33E300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val="single" w:color="000000"/>
        </w:rPr>
        <w:t>13) potrzebę zapewnienia odpowiedniej ilości i jakości wody, do celów zaopatrzenia ludności:</w:t>
      </w:r>
    </w:p>
    <w:p w14:paraId="349878ED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Plan miejscowy przewiduje realizowanie zaopatrzenia w wodę w oparciu o sieć wodociągową z możliwością jej przebudowy i rozbudowy.</w:t>
      </w:r>
    </w:p>
    <w:p w14:paraId="5863F4BD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Wyważenie interesu publicznego i interesów prywatnych</w:t>
      </w:r>
      <w:r>
        <w:rPr>
          <w:color w:val="000000"/>
          <w:szCs w:val="20"/>
          <w:u w:color="000000"/>
        </w:rPr>
        <w:t xml:space="preserve">, w tym zgłaszanych w postaci wniosków i uwag, zmierzające do ochrony istniejącego stanu zagospodarowania terenu, jak i zmian w zakresie jego zagospodarowania, </w:t>
      </w:r>
      <w:r>
        <w:rPr>
          <w:b/>
          <w:color w:val="000000"/>
          <w:szCs w:val="20"/>
          <w:u w:color="000000"/>
        </w:rPr>
        <w:t>a także analiz ekonomicznych, środowiskowych i społecznych przy ustalaniu przeznaczenie terenu lub określając potencjalny sposób zagospodarowania i korzystania z terenu:</w:t>
      </w:r>
    </w:p>
    <w:p w14:paraId="0DB0CBEF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Ustalenia planu miejscowego w zakresie przeznaczenia terenów przewidują możliwość realizacji zabudowy mieszkaniowej, usługowej, produkcyjnej, składowej i magazynowej, a także infrastruktury technicznej, dróg publicznych i dróg wewnętrznych. Tereny wyłączone z zainwestowania to przede wszystkim tereny zieleni i wody. Podstawowym wymogiem przy rozstrzyganiu o przeznaczeniu terenów jest uwzględnienie zapisów studium uwarunkowań i kierunków zagospodarowania przestrzennego gminy Alwernia. Przyjęte w studium zasady i kierunki zagospodarowania przestrzennego w wydzielonych w studium obszarach i terenach, zostały w pełni uwzględnione w planie miejscowym i w tym zakresie projekt planu miejscowego jest zgodny z ustaleniami studium. Przeznaczenie terenów dla zabudowy usługowej odpowiada na zobiektywizowane potrzeby ogółu społeczeństwa lub lokalnych społeczności, związane z zagospodarowaniem przestrzennym, w zakresie dostępu do szerokiego spektrum usług. Tym samym uwzględniony został także interes publiczny. Wyważenie interesu społecznego jak i interesów prywatnych odbywało się także z uwzględnieniem analiz ekonomicznych (prognoza skutków finansowych uchwalenia planu), środowiskowych (opracowanie ekofizjograficzne) oraz społecznych. Kwestie zagadnień społecznych w planowaniu przestrzennym poruszane są przede wszystkim w dokumentach strategicznych jak studium uwarunkowań i kierunków zagospodarowania przestrzennego oraz w strategiach i programach dodatkowych.</w:t>
      </w:r>
    </w:p>
    <w:p w14:paraId="528C380F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Zgodność z wynikami analizy zmian w zagospodarowaniu przestrzennym gminy:</w:t>
      </w:r>
    </w:p>
    <w:p w14:paraId="684F860B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W celu oceny aktualności studium i planów miejscowych burmistrz dokonuje analizy zmian w zagospodarowaniu przestrzennym gminy, ocenia postępy w opracowywaniu planów miejscowych i opracowuje wieloletnie programy ich sporządzania w nawiązaniu do ustaleń studium, z uwzględnieniem decyzji o ustaleniu warunkach zabudowy i ustaleniu lokalizacji inwestycji celu publicznego oraz wniosków w sprawie sporządzenia lub zmiany planu miejscowego.</w:t>
      </w:r>
    </w:p>
    <w:p w14:paraId="4DD631BB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Z analizy wniosków wynika, że w zdecydowanej większości dotyczą one wybranych obszarów/terenów i mają być odpowiedzią (rozwiązaniem) na potrzebę indywidualnych właścicieli nieruchomości. Kilka wniosków dotyczy zagadnień nieco bardziej ogólnych, dotyczących ustaleń w zakresie danej kategorii przeznaczenia terenów, żaden z wniosków nie dotyczy większych, szerzej opisanych obszarów, które wymagałyby skoordynowanej interwencji planistycznej mającej na celu np. rozwiązanie konfliktu przestrzennego lub wprowadzenie do przestrzeni gminy potrzebnych funkcji usług  publicznych i komercyjnych.</w:t>
      </w:r>
    </w:p>
    <w:p w14:paraId="2D3EB5B1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Z uwagi na pełne pokrycie obszaru gminy obowiązującymi planami miejscowymi oraz uchwalenie dwóch zmian planów, postępy w opracowaniu planów miejscowych oceniono pozytywnie.</w:t>
      </w:r>
    </w:p>
    <w:p w14:paraId="59CD0A36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Rozpatrując zgodność przedmiotowego planu miejscowego z wynikami analizy zmian w zagospodarowaniu przestrzennym gminy należy stwierdzić, iż ustalenia przedmiotowego planu miejscowego wpisują się w zdiagnozowane trendy zmian. W szczególności należy wskazać na kontynuację w ustaleniach planu dominującej funkcji obszaru tj. usług przy jednoczesnym uporządkowaniu i stabilizowaniu zasad zagospodarowania przestrzennego jakie plan miejscowy wprowadza.</w:t>
      </w:r>
    </w:p>
    <w:p w14:paraId="2A0D9B53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Data uchwały Rady Gminy w sprawie aktualności studium i planów miejscowych:</w:t>
      </w:r>
    </w:p>
    <w:p w14:paraId="670C9398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W wyniku przeprowadzonej przez Burmistrza Gminy Alwernia analizy zmian w zagospodarowaniu przestrzennym oraz oceny aktualności studium uwarunkowań i kierunków zagospodarowania przestrzennego gminy Alwernia i obowiązujących miejscowych planów zagospodarowania przestrzennego, po uzyskaniu opinii Gminnej Komisji Urbanistyczno-Architektonicznej uchwałą Nr XIII/97/2022 z dnia 30 listopada 2022 roku Rada Miejska w Alwerni stwierdziła:</w:t>
      </w:r>
    </w:p>
    <w:p w14:paraId="68872341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1) częściową nieaktualność studium uwarunkowań i kierunków zagospodarowania przestrzennego gminy Alwernia. przyjętego uchwałą Nr 9/98/99 Rady Miejskiej Alwerni z dnia 22 grudnia 1999 r. (z późniejszymi zmianami), przy czym stopień nieaktualności studium jest niewielki i nie ma wpływu na możliwość realizacji polityki przestrzennej gminy na jego podstawie;</w:t>
      </w:r>
    </w:p>
    <w:p w14:paraId="23606A2E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2) aktualność miejscowych planów zagospodarowania przestrzennego:</w:t>
      </w:r>
    </w:p>
    <w:p w14:paraId="44D619F6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 xml:space="preserve">a) miejscowy plan zagospodarowania przestrzennego miasta Alwernia oraz miejscowości Grojec, Kwaczała, Nieporaz, Poręba </w:t>
      </w:r>
      <w:proofErr w:type="spellStart"/>
      <w:r>
        <w:rPr>
          <w:color w:val="000000"/>
          <w:szCs w:val="20"/>
          <w:u w:color="000000"/>
        </w:rPr>
        <w:t>Żegoty</w:t>
      </w:r>
      <w:proofErr w:type="spellEnd"/>
      <w:r>
        <w:rPr>
          <w:color w:val="000000"/>
          <w:szCs w:val="20"/>
          <w:u w:color="000000"/>
        </w:rPr>
        <w:t xml:space="preserve"> i Regulice – uchwała Nr XIII/106/2015 Rady Miejskiej w Alwerni z dnia 16 listopada 2015 r. (Dz. Urz. Woj. Małop. z 22 grudnia 2015 r., poz. 8366), zmieniona uchwałą Nr IX/95/2020 Rady Miejskiej w Alwerni z dnia 17 grudnia 2020 r.  (Dz. Urz. Woj. Małop. z 28 grudnia 2020 r., poz. 8598);</w:t>
      </w:r>
    </w:p>
    <w:p w14:paraId="64AED57F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b) miejscowy plan zagospodarowania przestrzennego miejscowości Brodła, Mirów, Okleśna, Podłęże i Źródła – uchwała Nr XIII/107/2015 Rady Miejskiej w Alwerni z dnia 16 listopada 2015 r. (Dz. Urz. Woj. Małop. z 26 listopada 2015 r., poz. 6934);</w:t>
      </w:r>
    </w:p>
    <w:p w14:paraId="22414EE4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c) miejscowy plan zagospodarowania przestrzennego obszaru BRODŁA - PRZEŚNICE – uchwała Nr VII/53/2019 Rady Miejskiej w Alwerni z dnia 30 maja 2019 r. (Dz. Urz. Woj. Małop. z 18 czerwca 2019 r., poz. 4594).</w:t>
      </w:r>
    </w:p>
    <w:p w14:paraId="3E7C4DEE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Wpływ planu miejscowego na finanse publiczne, w tym budżet gminy:</w:t>
      </w:r>
    </w:p>
    <w:p w14:paraId="41C679C7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Ustalenia planu miejscowego niosą ze sobą zarówno obciążenia dla finansów publicznych, w tym dla budżetu gminy, jak i potencjalne dochody.</w:t>
      </w:r>
    </w:p>
    <w:p w14:paraId="763AAAB8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 xml:space="preserve">Koszty wynikające z ustaleń planu miejscowego dotyczą budowy dróg publicznych oraz uzbrojenia terenu, którego realizacja należy do zadań własnych gminy. Skutki finansowe, które wiążą się z wyznaczeniem w planie nowych gminnych dróg publicznych to przede wszystkim koszty ich realizacji (w tym projektowanie), jak również pozyskania gruntu pod ich budowę. Poważnym skutkiem finansowym związanym z realizacją ustaleń planu są zmiany wartości nieruchomości. W związku z  tym gmina będzie pobierać jednorazową opłatę od wzrostu wartości nieruchomości w trybie art. 36 ustawy </w:t>
      </w:r>
      <w:r>
        <w:rPr>
          <w:i/>
          <w:color w:val="000000"/>
          <w:szCs w:val="20"/>
          <w:u w:color="000000"/>
        </w:rPr>
        <w:t xml:space="preserve">o planowaniu i zagospodarowaniu przestrzennym </w:t>
      </w:r>
      <w:r>
        <w:rPr>
          <w:color w:val="000000"/>
          <w:szCs w:val="20"/>
          <w:u w:color="000000"/>
        </w:rPr>
        <w:t>przez okres 5 lat. Po stronie dochodów znajdą się także przychody z tytułu podatku od nieruchomości, które wraz ze wzrostem zainwestowania będą się zwiększać.</w:t>
      </w:r>
    </w:p>
    <w:p w14:paraId="43B45678" w14:textId="77777777" w:rsidR="00C94CF2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Należy podkreślić, że szczegółowe prognozowanie i porównanie konkretnych kosztów związanych z realizacją ustaleń planu i przyszłych dochodów wnoszonych z tego tytułu jest obarczone dużym ryzykiem błędu, który wynika z różnego prawdopodobieństwa zachodzenia (lub nie) poszczególnych okoliczności.</w:t>
      </w:r>
    </w:p>
    <w:sectPr w:rsidR="00C94CF2">
      <w:footerReference w:type="default" r:id="rId7"/>
      <w:endnotePr>
        <w:numFmt w:val="decimal"/>
      </w:endnotePr>
      <w:pgSz w:w="11906" w:h="16838"/>
      <w:pgMar w:top="992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BE6AD" w14:textId="77777777" w:rsidR="006315B0" w:rsidRDefault="006315B0">
      <w:r>
        <w:separator/>
      </w:r>
    </w:p>
  </w:endnote>
  <w:endnote w:type="continuationSeparator" w:id="0">
    <w:p w14:paraId="5654269B" w14:textId="77777777" w:rsidR="006315B0" w:rsidRDefault="0063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721"/>
      <w:gridCol w:w="3361"/>
    </w:tblGrid>
    <w:tr w:rsidR="00C94CF2" w14:paraId="646F9CFF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4CD4CB5" w14:textId="77777777" w:rsidR="00C94CF2" w:rsidRDefault="00000000">
          <w:pPr>
            <w:jc w:val="left"/>
            <w:rPr>
              <w:sz w:val="18"/>
            </w:rPr>
          </w:pPr>
          <w:r>
            <w:rPr>
              <w:sz w:val="18"/>
            </w:rPr>
            <w:t>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0304A662" w14:textId="77777777" w:rsidR="00C94CF2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997A82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8E6C09A" w14:textId="77777777" w:rsidR="00C94CF2" w:rsidRDefault="00C94CF2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721"/>
      <w:gridCol w:w="3361"/>
    </w:tblGrid>
    <w:tr w:rsidR="00C94CF2" w14:paraId="77DBB7D8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01BDD2F3" w14:textId="77777777" w:rsidR="00C94CF2" w:rsidRDefault="00000000">
          <w:pPr>
            <w:jc w:val="left"/>
            <w:rPr>
              <w:sz w:val="18"/>
            </w:rPr>
          </w:pPr>
          <w:r>
            <w:rPr>
              <w:sz w:val="18"/>
            </w:rPr>
            <w:t>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6A527191" w14:textId="0C7FCFD0" w:rsidR="00C94CF2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997A82">
            <w:rPr>
              <w:noProof/>
              <w:sz w:val="18"/>
            </w:rPr>
            <w:t>10</w:t>
          </w:r>
          <w:r>
            <w:rPr>
              <w:sz w:val="18"/>
            </w:rPr>
            <w:fldChar w:fldCharType="end"/>
          </w:r>
        </w:p>
      </w:tc>
    </w:tr>
  </w:tbl>
  <w:p w14:paraId="4328C717" w14:textId="77777777" w:rsidR="00C94CF2" w:rsidRDefault="00C94CF2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D169F" w14:textId="77777777" w:rsidR="006315B0" w:rsidRDefault="006315B0">
      <w:r>
        <w:separator/>
      </w:r>
    </w:p>
  </w:footnote>
  <w:footnote w:type="continuationSeparator" w:id="0">
    <w:p w14:paraId="11672E10" w14:textId="77777777" w:rsidR="006315B0" w:rsidRDefault="006315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6315B0"/>
    <w:rsid w:val="00997A82"/>
    <w:rsid w:val="00A77B3E"/>
    <w:rsid w:val="00C94CF2"/>
    <w:rsid w:val="00CA2A55"/>
    <w:rsid w:val="00E9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3DE4D0"/>
  <w15:docId w15:val="{B8831E5D-0D17-443D-A379-0F7C0367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7086</Words>
  <Characters>42521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Alwerni</Company>
  <LinksUpToDate>false</LinksUpToDate>
  <CharactersWithSpaces>49508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miejscowego planu zagospodarowania przestrzennego obszaru "GROJEC PÓŁNOC"</dc:subject>
  <dc:creator>Bartek</dc:creator>
  <cp:lastModifiedBy>Ewelina Stawarz-Moniowska</cp:lastModifiedBy>
  <cp:revision>2</cp:revision>
  <dcterms:created xsi:type="dcterms:W3CDTF">2025-07-12T17:40:00Z</dcterms:created>
  <dcterms:modified xsi:type="dcterms:W3CDTF">2025-07-12T15:41:00Z</dcterms:modified>
  <cp:category>Akt prawny</cp:category>
</cp:coreProperties>
</file>